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header4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6.xml" ContentType="application/vnd.openxmlformats-officedocument.wordprocessingml.header+xml"/>
  <Override PartName="/word/header5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/>
      </w:pPr>
      <w:r>
        <w:rPr>
          <w:rFonts w:eastAsia="Calibri"/>
        </w:rPr>
        <w:t xml:space="preserve">Технические требования </w:t>
      </w:r>
    </w:p>
    <w:p>
      <w:pPr>
        <w:pStyle w:val="Normal"/>
        <w:keepNext w:val="true"/>
        <w:keepLines/>
        <w:jc w:val="center"/>
        <w:rPr>
          <w:rFonts w:eastAsia="Calibri"/>
        </w:rPr>
      </w:pPr>
      <w:r>
        <w:rPr>
          <w:rFonts w:eastAsia="Calibri"/>
        </w:rPr>
      </w:r>
    </w:p>
    <w:p>
      <w:pPr>
        <w:pStyle w:val="Normal"/>
        <w:keepNext w:val="true"/>
        <w:keepLines/>
        <w:jc w:val="center"/>
        <w:rPr>
          <w:rFonts w:eastAsia="Calibri"/>
        </w:rPr>
      </w:pPr>
      <w:r>
        <w:rPr>
          <w:rFonts w:eastAsia="Calibri"/>
        </w:rPr>
      </w:r>
    </w:p>
    <w:p>
      <w:pPr>
        <w:pStyle w:val="Normal"/>
        <w:jc w:val="center"/>
        <w:rPr/>
      </w:pPr>
      <w:r>
        <w:rPr>
          <w:rFonts w:eastAsia="Calibri"/>
          <w:shd w:fill="FFFFFF" w:val="clear"/>
          <w:lang w:eastAsia="x-none"/>
        </w:rPr>
        <w:t>ОКПД2 33.12.29</w:t>
      </w:r>
      <w:r>
        <w:rPr>
          <w:rFonts w:eastAsia="Calibri"/>
          <w:shd w:fill="FFFFFF" w:val="clear"/>
        </w:rPr>
        <w:t xml:space="preserve"> </w:t>
      </w:r>
      <w:r>
        <w:rPr>
          <w:rFonts w:eastAsia="Calibri"/>
        </w:rPr>
        <w:t>выполнение работ</w:t>
      </w:r>
      <w:r>
        <w:rPr/>
        <w:t xml:space="preserve"> по текущему ремонт компрессоров Atlas Copco GA75FF Саратовской ГЭС</w:t>
      </w:r>
    </w:p>
    <w:p>
      <w:pPr>
        <w:pStyle w:val="Normal"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20"/>
              <w:tab w:val="left" w:pos="56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r>
            <w:fldChar w:fldCharType="begin"/>
          </w:r>
          <w:r>
            <w:rPr>
              <w:webHidden/>
              <w:rStyle w:val="Style14"/>
              <w:vanish w:val="false"/>
            </w:rPr>
            <w:instrText xml:space="preserve"> TOC \z \o "1-4" \u \h</w:instrText>
          </w:r>
          <w:r>
            <w:rPr>
              <w:webHidden/>
              <w:rStyle w:val="Style14"/>
              <w:vanish w:val="false"/>
            </w:rPr>
            <w:fldChar w:fldCharType="separate"/>
          </w:r>
          <w:hyperlink w:anchor="_Toc202270158">
            <w:r>
              <w:rPr>
                <w:webHidden/>
                <w:rStyle w:val="Style14"/>
                <w:vanish w:val="false"/>
              </w:rPr>
              <w:t>1.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4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_Toc202270158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20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202270159">
            <w:r>
              <w:rPr>
                <w:webHidden/>
                <w:rStyle w:val="Style14"/>
                <w:b/>
                <w:iCs/>
                <w:vanish w:val="false"/>
              </w:rPr>
              <w:t>1.1.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b/>
              </w:rPr>
              <w:t>Обозначения и сокращения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_Toc202270159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20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202270160">
            <w:r>
              <w:rPr>
                <w:webHidden/>
                <w:rStyle w:val="Style14"/>
                <w:b/>
                <w:iCs/>
                <w:vanish w:val="false"/>
              </w:rPr>
              <w:t>1.2.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b/>
              </w:rPr>
              <w:t>Наименование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_Toc202270160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20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202270161">
            <w:r>
              <w:rPr>
                <w:webHidden/>
                <w:rStyle w:val="Style14"/>
                <w:b/>
                <w:iCs/>
                <w:vanish w:val="false"/>
              </w:rPr>
              <w:t>1.3.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b/>
              </w:rPr>
              <w:t>Цель выполнения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_Toc202270161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20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202270162">
            <w:r>
              <w:rPr>
                <w:webHidden/>
                <w:rStyle w:val="Style14"/>
                <w:b/>
                <w:iCs/>
                <w:vanish w:val="false"/>
              </w:rPr>
              <w:t>1.4.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b/>
              </w:rPr>
              <w:t>Существующее положение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_Toc202270162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20"/>
              <w:tab w:val="left" w:pos="140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202270163">
            <w:r>
              <w:rPr>
                <w:webHidden/>
                <w:rStyle w:val="Style14"/>
                <w:vanish w:val="false"/>
              </w:rPr>
              <w:t>1.4.1.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shd w:fill="FFFFFF" w:val="clear"/>
              </w:rPr>
              <w:t>Работы выполняются на основании Договор подряда № 1300-355-2023 от 02.11.2023г. Капитальный и текущий ремонт оборудования, зданий, сооружений филиала ПАО "РусГидро" - "Саратовская ГЭС";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_Toc202270163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20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20227016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_Toc202270164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vanish w:val="false"/>
              </w:rPr>
              <w:t>Таблица 1. Перечень объектов заказчика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20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202270165">
            <w:r>
              <w:rPr>
                <w:webHidden/>
                <w:rStyle w:val="Style14"/>
                <w:b/>
                <w:iCs/>
                <w:vanish w:val="false"/>
              </w:rPr>
              <w:t>1.5.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b/>
              </w:rPr>
  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Генеральным подрядчиком на этапе исполнения договора)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_Toc202270165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20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20227016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_Toc202270166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vanish w:val="false"/>
              </w:rPr>
              <w:t>1.5.1. Согласование со службой эксплуатации Саратовской ГЭС мест подключения временных коммуникаций (технические условия на подключения выдаются после получения от Субподрядчика официального запроса с указанием потребных ресурсов в количественных и качественных показателях).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20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202270167">
            <w:r>
              <w:rPr>
                <w:webHidden/>
                <w:rStyle w:val="Style14"/>
                <w:b/>
                <w:iCs/>
                <w:vanish w:val="false"/>
              </w:rPr>
              <w:t>1.6.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b/>
              </w:rPr>
              <w:t>Иные требования и сведения общего характера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_Toc202270167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20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202270168">
            <w:r>
              <w:rPr>
                <w:webHidden/>
                <w:rStyle w:val="Style14"/>
                <w:vanish w:val="false"/>
              </w:rPr>
              <w:t>1.6.1.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</w:rPr>
              <w:t>Работы выполняются в таком объеме, который позволяет начать эксплуатацию результатов работ без проведения закупочных процедур Генеральным подрядчиком, включающих дополнительные объёмы каких-либо материалов, оборудования и работ, выявленных в процессе работ по текущему ремонту компрессоров. Работы считаются выполненными после приемки объекта из ремонта комиссией филиала ПАО «РусГидро» - «Саратовская ГЭС» с оформлением отчётной документации со стороны Субподрядчика.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_Toc202270168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20"/>
              <w:tab w:val="left" w:pos="56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202270169">
            <w:r>
              <w:rPr>
                <w:webHidden/>
                <w:rStyle w:val="Style14"/>
                <w:vanish w:val="false"/>
              </w:rPr>
              <w:t>2.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4"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_Toc202270169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20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202270170">
            <w:r>
              <w:rPr>
                <w:webHidden/>
                <w:rStyle w:val="Style14"/>
                <w:b/>
                <w:iCs/>
                <w:vanish w:val="false"/>
              </w:rPr>
              <w:t>2.1.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b/>
              </w:rPr>
              <w:t>Требования к объемам и срокам выполнения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_Toc202270170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20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202270171">
            <w:r>
              <w:rPr>
                <w:webHidden/>
                <w:rStyle w:val="Style14"/>
                <w:vanish w:val="false"/>
              </w:rPr>
              <w:t>2.1.1.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</w:rPr>
              <w:t>Требования к видам и объемам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_Toc202270171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20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20227017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_Toc202270172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vanish w:val="false"/>
              </w:rPr>
              <w:t>Таблица 2. Перечень и объем выполняемых работ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20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202270173">
            <w:r>
              <w:rPr>
                <w:webHidden/>
                <w:rStyle w:val="Style14"/>
                <w:vanish w:val="false"/>
              </w:rPr>
              <w:t>2.1.2.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</w:rPr>
              <w:t>Требования к срокам выполнения работ.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_Toc202270173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20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20227017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_Toc202270174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vanish w:val="false"/>
              </w:rPr>
              <w:t>Таблица 3. Требования по срокам выполнения работ</w:t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20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202270175">
            <w:r>
              <w:rPr>
                <w:webHidden/>
                <w:rStyle w:val="Style14"/>
                <w:b/>
                <w:iCs/>
                <w:vanish w:val="false"/>
              </w:rPr>
              <w:t>2.2.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b/>
              </w:rPr>
              <w:t>Требования к качеству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_Toc202270175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vanish w:val="false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20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20227017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_Toc202270176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vanish w:val="false"/>
              </w:rPr>
              <w:t>Таблица 4. Требования к качеству работ</w:t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20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202270177">
            <w:r>
              <w:rPr>
                <w:webHidden/>
                <w:rStyle w:val="Style14"/>
                <w:iCs/>
                <w:vanish w:val="false"/>
              </w:rPr>
              <w:t>Гарантийный срок на результат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_Toc202270177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vanish w:val="false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20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20227017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_Toc202270178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vanish w:val="false"/>
              </w:rPr>
              <w:t>3.Приложения</w:t>
              <w:tab/>
              <w:t>14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4"/>
              <w:vanish w:val="false"/>
            </w:rPr>
            <w:fldChar w:fldCharType="end"/>
          </w:r>
        </w:p>
      </w:sdtContent>
    </w:sdt>
    <w:p>
      <w:pPr>
        <w:pStyle w:val="TOC1"/>
        <w:tabs>
          <w:tab w:val="clear" w:pos="720"/>
          <w:tab w:val="left" w:pos="560" w:leader="none"/>
          <w:tab w:val="right" w:pos="9911" w:leader="dot"/>
        </w:tabs>
        <w:rPr>
          <w:rFonts w:ascii="Calibri" w:hAnsi="Calibri" w:eastAsia="新細明體" w:cs="Arial" w:asciiTheme="minorHAnsi" w:cstheme="minorBidi" w:eastAsiaTheme="minorEastAsia" w:hAnsiTheme="minorHAnsi"/>
          <w:b w:val="false"/>
          <w:bCs w:val="false"/>
        </w:rPr>
      </w:pPr>
      <w:r>
        <w:rPr>
          <w:rFonts w:eastAsia="新細明體" w:cs="Arial" w:cstheme="minorBidi" w:eastAsiaTheme="minorEastAsia" w:ascii="Calibri" w:hAnsi="Calibri"/>
          <w:b w:val="false"/>
          <w:bCs w:val="false"/>
        </w:rPr>
      </w:r>
    </w:p>
    <w:p>
      <w:pPr>
        <w:pStyle w:val="Heading2"/>
        <w:tabs>
          <w:tab w:val="clear" w:pos="0"/>
        </w:tabs>
        <w:rPr/>
      </w:pPr>
      <w:r>
        <w:rPr/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bookmarkStart w:id="0" w:name="_GoBack"/>
      <w:bookmarkStart w:id="1" w:name="_GoBack"/>
      <w:bookmarkEnd w:id="1"/>
      <w:r>
        <w:br w:type="page"/>
      </w:r>
    </w:p>
    <w:p>
      <w:pPr>
        <w:pStyle w:val="Heading1"/>
        <w:numPr>
          <w:ilvl w:val="0"/>
          <w:numId w:val="3"/>
        </w:numPr>
        <w:ind w:left="426" w:hanging="426"/>
        <w:rPr>
          <w:b/>
          <w:caps/>
        </w:rPr>
      </w:pPr>
      <w:bookmarkStart w:id="2" w:name="_Toc51339692"/>
      <w:bookmarkStart w:id="3" w:name="_Toc202270158"/>
      <w:r>
        <w:rPr>
          <w:b/>
        </w:rPr>
        <w:t>Общие сведения</w:t>
      </w:r>
      <w:bookmarkEnd w:id="2"/>
      <w:bookmarkEnd w:id="3"/>
    </w:p>
    <w:p>
      <w:pPr>
        <w:pStyle w:val="Heading4"/>
        <w:numPr>
          <w:ilvl w:val="1"/>
          <w:numId w:val="3"/>
        </w:numPr>
        <w:ind w:left="0" w:hanging="0"/>
        <w:rPr>
          <w:b/>
        </w:rPr>
      </w:pPr>
      <w:bookmarkStart w:id="4" w:name="_Toc46743505"/>
      <w:bookmarkStart w:id="5" w:name="_Toc202270159"/>
      <w:r>
        <w:rPr>
          <w:b/>
        </w:rPr>
        <w:t>Обозначения и сокращения</w:t>
      </w:r>
      <w:bookmarkEnd w:id="4"/>
      <w:bookmarkEnd w:id="5"/>
    </w:p>
    <w:p>
      <w:pPr>
        <w:pStyle w:val="Normal"/>
        <w:rPr>
          <w:rStyle w:val="Style8"/>
          <w:b w:val="false"/>
          <w:bCs/>
          <w:i w:val="false"/>
          <w:i w:val="false"/>
          <w:iCs/>
          <w:sz w:val="26"/>
          <w:szCs w:val="26"/>
        </w:rPr>
      </w:pPr>
      <w:r>
        <w:rPr>
          <w:b w:val="false"/>
          <w:bCs/>
          <w:i w:val="false"/>
          <w:iCs/>
          <w:sz w:val="26"/>
          <w:szCs w:val="26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028"/>
        <w:gridCol w:w="7754"/>
      </w:tblGrid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rStyle w:val="Style8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Заказчик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/>
            </w:pPr>
            <w:r>
              <w:rPr>
                <w:iCs/>
                <w:sz w:val="24"/>
                <w:szCs w:val="24"/>
              </w:rPr>
              <w:t>ПАО «РусГидро», Красноярский край, г. Красноярск, Филиал ПАО «РусГидро» - «Саратовская ГЭС» РФ, 413840, Саратовская обл., г. Балаково.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hd w:val="clear" w:fill="FFFFFF"/>
              <w:tabs>
                <w:tab w:val="clear" w:pos="720"/>
                <w:tab w:val="left" w:pos="426" w:leader="none"/>
              </w:tabs>
              <w:spacing w:before="120" w:after="120"/>
              <w:jc w:val="both"/>
              <w:rPr/>
            </w:pPr>
            <w:r>
              <w:rPr>
                <w:iCs/>
                <w:sz w:val="24"/>
                <w:szCs w:val="24"/>
              </w:rPr>
              <w:t>Генеральный подрядчик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hd w:val="clear" w:fill="FFFFFF"/>
              <w:tabs>
                <w:tab w:val="clear" w:pos="720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highlight w:val="none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АО «Гидроремонт-ВКК», 603140, Нижегородская область, г.о. город Нижний Новгород, г. Нижний Новгород, пер Мотальный, д. 8, помещ. ВП 31, офис С1А.</w:t>
            </w:r>
          </w:p>
          <w:p>
            <w:pPr>
              <w:pStyle w:val="Normal"/>
              <w:widowControl w:val="false"/>
              <w:shd w:val="clear" w:fill="FFFFFF"/>
              <w:tabs>
                <w:tab w:val="clear" w:pos="720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highlight w:val="none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Саратовский филиал АО «Гидроремонт-ВКК» в г. Балаково, 413840, Саратовская обл., г. Балаково.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Субподрядчик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Исполнитель Работ.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ТТ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/>
            </w:pPr>
            <w:r>
              <w:rPr>
                <w:iCs/>
                <w:sz w:val="24"/>
                <w:szCs w:val="24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/>
            </w:pPr>
            <w:r>
              <w:rPr>
                <w:iCs/>
                <w:sz w:val="24"/>
                <w:szCs w:val="24"/>
              </w:rPr>
              <w:t>СТО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стандарт организации</w:t>
            </w:r>
            <w:r>
              <w:rPr>
                <w:rStyle w:val="Style8"/>
                <w:b w:val="false"/>
                <w:bCs/>
                <w:i w:val="false"/>
                <w:iCs/>
                <w:sz w:val="24"/>
                <w:szCs w:val="24"/>
              </w:rPr>
              <w:t xml:space="preserve"> 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ЛБ 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Левый берег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ПБ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Правый берег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4"/>
        <w:numPr>
          <w:ilvl w:val="1"/>
          <w:numId w:val="3"/>
        </w:numPr>
        <w:ind w:left="0" w:hanging="0"/>
        <w:rPr>
          <w:b/>
        </w:rPr>
      </w:pPr>
      <w:bookmarkStart w:id="6" w:name="_Toc46743506"/>
      <w:bookmarkStart w:id="7" w:name="_Toc202270160"/>
      <w:r>
        <w:rPr>
          <w:b/>
        </w:rPr>
        <w:t>Наименование закупаемой продукции</w:t>
      </w:r>
      <w:bookmarkEnd w:id="6"/>
      <w:bookmarkEnd w:id="7"/>
    </w:p>
    <w:p>
      <w:pPr>
        <w:pStyle w:val="Normal"/>
        <w:widowControl w:val="false"/>
        <w:shd w:val="clear" w:fill="FFFFFF"/>
        <w:tabs>
          <w:tab w:val="clear" w:pos="720"/>
          <w:tab w:val="left" w:pos="426" w:leader="none"/>
        </w:tabs>
        <w:spacing w:before="120" w:after="120"/>
        <w:jc w:val="both"/>
        <w:rPr>
          <w:rStyle w:val="Style8"/>
          <w:rFonts w:eastAsia="Calibri"/>
          <w:i w:val="false"/>
          <w:i w:val="false"/>
          <w:sz w:val="24"/>
          <w:szCs w:val="24"/>
          <w:shd w:fill="auto" w:val="clear"/>
          <w:lang w:eastAsia="x-none"/>
        </w:rPr>
      </w:pPr>
      <w:r>
        <w:rPr>
          <w:rFonts w:eastAsia="Calibri"/>
          <w:sz w:val="24"/>
          <w:szCs w:val="24"/>
          <w:shd w:fill="FFFF00" w:val="clear"/>
          <w:lang w:eastAsia="x-none"/>
        </w:rPr>
        <w:t xml:space="preserve">ОКПД2: 33.12.29 </w:t>
      </w:r>
      <w:r>
        <w:rPr>
          <w:rFonts w:eastAsia="Calibri"/>
          <w:sz w:val="24"/>
          <w:szCs w:val="24"/>
          <w:lang w:eastAsia="x-none"/>
        </w:rPr>
        <w:t>Текущий ремонт компрессоров Atlas Copco GA75FF Саратовской ГЭС.</w:t>
      </w:r>
      <w:r>
        <w:rPr>
          <w:rFonts w:eastAsia="Calibri"/>
          <w:lang w:eastAsia="x-none"/>
        </w:rPr>
        <w:br/>
      </w:r>
    </w:p>
    <w:p>
      <w:pPr>
        <w:pStyle w:val="Heading4"/>
        <w:numPr>
          <w:ilvl w:val="1"/>
          <w:numId w:val="3"/>
        </w:numPr>
        <w:ind w:left="0" w:hanging="0"/>
        <w:rPr>
          <w:b/>
        </w:rPr>
      </w:pPr>
      <w:bookmarkStart w:id="8" w:name="_Toc202270161"/>
      <w:bookmarkStart w:id="9" w:name="_Toc46743507"/>
      <w:r>
        <w:rPr>
          <w:b/>
        </w:rPr>
        <w:t xml:space="preserve">Цель </w:t>
      </w:r>
      <w:bookmarkEnd w:id="9"/>
      <w:r>
        <w:rPr>
          <w:b/>
        </w:rPr>
        <w:t>выполнения работ</w:t>
      </w:r>
      <w:bookmarkEnd w:id="8"/>
      <w:r>
        <w:rPr>
          <w:b/>
        </w:rPr>
        <w:t xml:space="preserve"> 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120" w:after="240"/>
        <w:jc w:val="both"/>
        <w:rPr>
          <w:rStyle w:val="Style8"/>
          <w:bCs/>
          <w:i w:val="false"/>
          <w:i w:val="false"/>
          <w:sz w:val="24"/>
          <w:szCs w:val="24"/>
        </w:rPr>
      </w:pPr>
      <w:r>
        <w:rPr/>
        <w:t xml:space="preserve"> </w:t>
      </w:r>
      <w:r>
        <w:rPr/>
        <w:t>«</w:t>
      </w:r>
      <w:r>
        <w:rPr>
          <w:sz w:val="24"/>
          <w:szCs w:val="24"/>
        </w:rPr>
        <w:t>Целью работы является восстановление работоспособности наименее долговечных деталей компрессоров.»</w:t>
      </w:r>
    </w:p>
    <w:p>
      <w:pPr>
        <w:pStyle w:val="Heading4"/>
        <w:numPr>
          <w:ilvl w:val="1"/>
          <w:numId w:val="3"/>
        </w:numPr>
        <w:ind w:left="0" w:hanging="0"/>
        <w:rPr>
          <w:b/>
        </w:rPr>
      </w:pPr>
      <w:bookmarkStart w:id="10" w:name="_Toc46743508"/>
      <w:bookmarkStart w:id="11" w:name="_Toc202270162"/>
      <w:r>
        <w:rPr>
          <w:b/>
        </w:rPr>
        <w:t>Существующее положение</w:t>
      </w:r>
      <w:bookmarkEnd w:id="10"/>
      <w:bookmarkEnd w:id="11"/>
      <w:r>
        <w:rPr>
          <w:b/>
          <w:lang w:val="ru-RU"/>
        </w:rPr>
        <w:t xml:space="preserve"> </w:t>
      </w:r>
    </w:p>
    <w:p>
      <w:pPr>
        <w:pStyle w:val="Heading4"/>
        <w:numPr>
          <w:ilvl w:val="2"/>
          <w:numId w:val="3"/>
        </w:numPr>
        <w:ind w:left="0" w:hanging="0"/>
        <w:rPr>
          <w:shd w:fill="FFFFFF" w:val="clear"/>
        </w:rPr>
      </w:pPr>
      <w:r>
        <w:rPr>
          <w:shd w:fill="FFFFFF" w:val="clear"/>
        </w:rPr>
        <w:t xml:space="preserve"> </w:t>
      </w:r>
      <w:bookmarkStart w:id="12" w:name="_Toc202270163"/>
      <w:r>
        <w:rPr>
          <w:shd w:fill="FFFFFF" w:val="clear"/>
        </w:rPr>
        <w:t xml:space="preserve">Работы выполняются на основании </w:t>
      </w:r>
      <w:r>
        <w:rPr>
          <w:color w:val="000000"/>
          <w:shd w:fill="FFFFFF" w:val="clear"/>
        </w:rPr>
        <w:t>Договор подряда № 1300-355-2023 от 02.11.2023г.</w:t>
      </w:r>
      <w:r>
        <w:rPr>
          <w:color w:val="000000"/>
          <w:shd w:fill="FFFFFF" w:val="clear"/>
          <w:lang w:val="ru-RU"/>
        </w:rPr>
        <w:t xml:space="preserve"> </w:t>
      </w:r>
      <w:r>
        <w:rPr>
          <w:color w:val="000000"/>
          <w:shd w:fill="FFFFFF" w:val="clear"/>
        </w:rPr>
        <w:t>Капитальный и текущий ремонт оборудования, зданий, сооружений филиала ПАО "РусГидро" - "Саратовская ГЭС"</w:t>
      </w:r>
      <w:r>
        <w:rPr>
          <w:shd w:fill="FFFFFF" w:val="clear"/>
        </w:rPr>
        <w:t>;</w:t>
      </w:r>
      <w:bookmarkEnd w:id="12"/>
    </w:p>
    <w:p>
      <w:pPr>
        <w:pStyle w:val="Normal"/>
        <w:widowControl w:val="false"/>
        <w:tabs>
          <w:tab w:val="clear" w:pos="720"/>
          <w:tab w:val="left" w:pos="426" w:leader="none"/>
        </w:tabs>
        <w:jc w:val="both"/>
        <w:rPr/>
      </w:pPr>
      <w:r>
        <w:rPr>
          <w:sz w:val="24"/>
          <w:szCs w:val="24"/>
        </w:rPr>
        <w:t>1.4.2. Работа на территории Филиала ПАО «РусГидро» - «Саратовская ГЭС», Компрессорная ЛБ и ПБ.</w:t>
      </w:r>
      <w:r>
        <w:rPr/>
        <w:t xml:space="preserve"> 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1.4.3. Производство работ в существующих зданиях и сооружениях в стесненных условиях с наличием в зоне производства работ действующего технологического оборудования (станков, установок, кранов и т.п.) или загромождающих предметов (лабораторное оборудование, мебель и т. п.) или движения транспорта по внутрицеховым путям.</w:t>
      </w:r>
    </w:p>
    <w:p>
      <w:pPr>
        <w:pStyle w:val="Heading1"/>
        <w:tabs>
          <w:tab w:val="clear" w:pos="0"/>
        </w:tabs>
        <w:rPr>
          <w:rStyle w:val="Style8"/>
          <w:b w:val="false"/>
          <w:i w:val="false"/>
          <w:i w:val="false"/>
          <w:sz w:val="24"/>
          <w:szCs w:val="24"/>
          <w:shd w:fill="auto" w:val="clear"/>
          <w:lang w:val="ru-RU"/>
        </w:rPr>
      </w:pPr>
      <w:bookmarkStart w:id="13" w:name="_Toc202270164"/>
      <w:r>
        <w:rPr>
          <w:b/>
        </w:rPr>
        <w:t>Таблица 1. Перечень объектов заказчика</w:t>
      </w:r>
      <w:bookmarkEnd w:id="13"/>
    </w:p>
    <w:tbl>
      <w:tblPr>
        <w:tblW w:w="991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817"/>
        <w:gridCol w:w="2696"/>
        <w:gridCol w:w="1843"/>
        <w:gridCol w:w="2861"/>
        <w:gridCol w:w="1701"/>
      </w:tblGrid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  <w:br/>
            </w:r>
            <w:r>
              <w:rPr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1432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компрессорная  </w:t>
            </w:r>
            <w:r>
              <w:rPr>
                <w:bCs/>
                <w:sz w:val="22"/>
                <w:szCs w:val="22"/>
              </w:rPr>
              <w:t>фирмы Atlas Copco</w:t>
            </w:r>
            <w:r>
              <w:rPr>
                <w:sz w:val="22"/>
                <w:szCs w:val="22"/>
              </w:rPr>
              <w:t xml:space="preserve"> марки GA75FF  ст.№1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ПАО «РусГидро», Красноярский край, г. Красноярск, Филиал ПАО «РусГидро» - «Саратовская ГЭС» РФ, 413840, Саратовская обл., г. Балаково. </w:t>
            </w:r>
            <w:r>
              <w:rPr>
                <w:sz w:val="22"/>
                <w:szCs w:val="22"/>
              </w:rPr>
              <w:t>Компрессорная ЛБ и ПБ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компрессорная  </w:t>
            </w:r>
            <w:r>
              <w:rPr>
                <w:bCs/>
                <w:sz w:val="22"/>
                <w:szCs w:val="22"/>
              </w:rPr>
              <w:t>фирмы Atlas Copco</w:t>
            </w:r>
            <w:r>
              <w:rPr>
                <w:sz w:val="22"/>
                <w:szCs w:val="22"/>
              </w:rPr>
              <w:t xml:space="preserve"> марки GA75FF  ст.№1 серийный номер </w:t>
            </w:r>
            <w:r>
              <w:rPr>
                <w:sz w:val="22"/>
                <w:szCs w:val="22"/>
                <w:lang w:val="en-US"/>
              </w:rPr>
              <w:t>API</w:t>
            </w:r>
            <w:r>
              <w:rPr>
                <w:sz w:val="22"/>
                <w:szCs w:val="22"/>
              </w:rPr>
              <w:t>526345 год выпуска 2011г.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iCs/>
                <w:sz w:val="22"/>
                <w:szCs w:val="22"/>
              </w:rPr>
              <w:t>Эксплуатирующая организация: Филиал ПАО «РусГидро» - «Саратовская ГЭС»</w:t>
            </w:r>
          </w:p>
        </w:tc>
      </w:tr>
      <w:tr>
        <w:trPr>
          <w:trHeight w:val="591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компрессорная  </w:t>
            </w:r>
            <w:r>
              <w:rPr>
                <w:bCs/>
                <w:sz w:val="22"/>
                <w:szCs w:val="22"/>
              </w:rPr>
              <w:t>фирмы Atlas Copco</w:t>
            </w:r>
            <w:r>
              <w:rPr>
                <w:sz w:val="22"/>
                <w:szCs w:val="22"/>
              </w:rPr>
              <w:t xml:space="preserve"> марки GA75FF  ст.№2 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компрессорная  </w:t>
            </w:r>
            <w:r>
              <w:rPr>
                <w:bCs/>
                <w:sz w:val="22"/>
                <w:szCs w:val="22"/>
              </w:rPr>
              <w:t>фирмы Atlas Copco</w:t>
            </w:r>
            <w:r>
              <w:rPr>
                <w:sz w:val="22"/>
                <w:szCs w:val="22"/>
              </w:rPr>
              <w:t xml:space="preserve"> марки GA75FF  ст.№2 серийный номер </w:t>
            </w:r>
            <w:r>
              <w:rPr>
                <w:sz w:val="22"/>
                <w:szCs w:val="22"/>
                <w:lang w:val="en-US"/>
              </w:rPr>
              <w:t>API</w:t>
            </w:r>
            <w:r>
              <w:rPr>
                <w:sz w:val="22"/>
                <w:szCs w:val="22"/>
              </w:rPr>
              <w:t>526346 год выпуска 2011г.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</w:p>
        </w:tc>
      </w:tr>
      <w:tr>
        <w:trPr>
          <w:trHeight w:val="616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компрессорная  </w:t>
            </w:r>
            <w:r>
              <w:rPr>
                <w:bCs/>
                <w:sz w:val="22"/>
                <w:szCs w:val="22"/>
              </w:rPr>
              <w:t>фирмы Atlas Copco</w:t>
            </w:r>
            <w:r>
              <w:rPr>
                <w:sz w:val="22"/>
                <w:szCs w:val="22"/>
              </w:rPr>
              <w:t xml:space="preserve"> марки GA75FF  ст.№7 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компрессорная  </w:t>
            </w:r>
            <w:r>
              <w:rPr>
                <w:bCs/>
                <w:sz w:val="22"/>
                <w:szCs w:val="22"/>
              </w:rPr>
              <w:t>фирмы Atlas Copco</w:t>
            </w:r>
            <w:r>
              <w:rPr>
                <w:sz w:val="22"/>
                <w:szCs w:val="22"/>
              </w:rPr>
              <w:t xml:space="preserve"> марки GA75FF  ст.№7 серийный номер </w:t>
            </w:r>
            <w:r>
              <w:rPr>
                <w:sz w:val="22"/>
                <w:szCs w:val="22"/>
                <w:lang w:val="en-US"/>
              </w:rPr>
              <w:t>API</w:t>
            </w:r>
            <w:r>
              <w:rPr>
                <w:sz w:val="22"/>
                <w:szCs w:val="22"/>
              </w:rPr>
              <w:t>527471 год выпуска 2012г.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</w:p>
        </w:tc>
      </w:tr>
      <w:tr>
        <w:trPr>
          <w:trHeight w:val="516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компрессорная  </w:t>
            </w:r>
            <w:r>
              <w:rPr>
                <w:bCs/>
                <w:sz w:val="22"/>
                <w:szCs w:val="22"/>
              </w:rPr>
              <w:t>фирмы Atlas Copco</w:t>
            </w:r>
            <w:r>
              <w:rPr>
                <w:sz w:val="22"/>
                <w:szCs w:val="22"/>
              </w:rPr>
              <w:t xml:space="preserve"> марки GA75FF  ст.№8 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компрессорная  </w:t>
            </w:r>
            <w:r>
              <w:rPr>
                <w:bCs/>
                <w:sz w:val="22"/>
                <w:szCs w:val="22"/>
              </w:rPr>
              <w:t>фирмы Atlas Copco</w:t>
            </w:r>
            <w:r>
              <w:rPr>
                <w:sz w:val="22"/>
                <w:szCs w:val="22"/>
              </w:rPr>
              <w:t xml:space="preserve"> марки GA75FF  ст.№8 серийный номер </w:t>
            </w:r>
            <w:r>
              <w:rPr>
                <w:sz w:val="22"/>
                <w:szCs w:val="22"/>
                <w:lang w:val="en-US"/>
              </w:rPr>
              <w:t>API</w:t>
            </w:r>
            <w:r>
              <w:rPr>
                <w:sz w:val="22"/>
                <w:szCs w:val="22"/>
              </w:rPr>
              <w:t>527472 год выпуска 2012г.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</w:p>
        </w:tc>
      </w:tr>
      <w:tr>
        <w:trPr>
          <w:trHeight w:val="375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компрессорная  </w:t>
            </w:r>
            <w:r>
              <w:rPr>
                <w:bCs/>
                <w:sz w:val="22"/>
                <w:szCs w:val="22"/>
              </w:rPr>
              <w:t>фирмы Atlas Copco</w:t>
            </w:r>
            <w:r>
              <w:rPr>
                <w:sz w:val="22"/>
                <w:szCs w:val="22"/>
              </w:rPr>
              <w:t xml:space="preserve"> марки GA75FF  ст.№9 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компрессорная</w:t>
            </w:r>
            <w:r>
              <w:rPr>
                <w:bCs/>
                <w:sz w:val="22"/>
                <w:szCs w:val="22"/>
              </w:rPr>
              <w:t xml:space="preserve"> фирмы Atlas Copco</w:t>
            </w:r>
            <w:r>
              <w:rPr>
                <w:sz w:val="22"/>
                <w:szCs w:val="22"/>
              </w:rPr>
              <w:t xml:space="preserve"> марки GA75FF  ст.№9 серийный номер </w:t>
            </w:r>
            <w:r>
              <w:rPr>
                <w:sz w:val="22"/>
                <w:szCs w:val="22"/>
                <w:lang w:val="en-US"/>
              </w:rPr>
              <w:t>API</w:t>
            </w:r>
            <w:r>
              <w:rPr>
                <w:sz w:val="22"/>
                <w:szCs w:val="22"/>
              </w:rPr>
              <w:t>527470 год выпуска 2012г.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</w:p>
        </w:tc>
      </w:tr>
    </w:tbl>
    <w:p>
      <w:pPr>
        <w:pStyle w:val="Heading4"/>
        <w:numPr>
          <w:ilvl w:val="1"/>
          <w:numId w:val="3"/>
        </w:numPr>
        <w:ind w:left="0" w:hanging="0"/>
        <w:rPr>
          <w:rStyle w:val="Style8"/>
          <w:b w:val="false"/>
          <w:i w:val="false"/>
          <w:i w:val="false"/>
        </w:rPr>
      </w:pPr>
      <w:bookmarkStart w:id="14" w:name="_Toc46743509"/>
      <w:bookmarkStart w:id="15" w:name="_Hlk49857604"/>
      <w:bookmarkStart w:id="16" w:name="_Toc202270165"/>
      <w:r>
        <w:rPr>
          <w:b/>
        </w:rPr>
        <w:t xml:space="preserve">Информация в отношении исполнения договора, </w:t>
      </w:r>
      <w:bookmarkStart w:id="17" w:name="_Hlk46492347"/>
      <w:r>
        <w:rPr>
          <w:b/>
        </w:rPr>
        <w:t xml:space="preserve">которая должна быть учтена при подготовке заявки </w:t>
      </w:r>
      <w:bookmarkEnd w:id="17"/>
      <w:r>
        <w:rPr>
          <w:b/>
        </w:rPr>
        <w:t xml:space="preserve">(в том числе перечень ресурсов, услуг и документов, предоставляемых </w:t>
      </w:r>
      <w:r>
        <w:rPr>
          <w:b/>
          <w:lang w:val="ru-RU"/>
        </w:rPr>
        <w:t>Генеральным подрядчиком</w:t>
      </w:r>
      <w:r>
        <w:rPr>
          <w:b/>
        </w:rPr>
        <w:t xml:space="preserve"> на этапе исполнения договора)</w:t>
      </w:r>
      <w:bookmarkEnd w:id="14"/>
      <w:bookmarkEnd w:id="15"/>
      <w:bookmarkEnd w:id="16"/>
      <w:r>
        <w:rPr>
          <w:b/>
          <w:lang w:val="ru-RU"/>
        </w:rPr>
        <w:t xml:space="preserve"> </w:t>
      </w:r>
      <w:bookmarkStart w:id="18" w:name="_Hlk48209761"/>
    </w:p>
    <w:p>
      <w:pPr>
        <w:pStyle w:val="Heading3"/>
        <w:rPr/>
      </w:pPr>
      <w:bookmarkStart w:id="19" w:name="_Toc202270166"/>
      <w:bookmarkEnd w:id="18"/>
      <w:r>
        <w:rPr/>
        <w:t>1.5.1. Согласование со службой эксплуатации Саратовской ГЭС мест подключения временных коммуникаций (технические условия на подключения выдаются после получения от Субподрядчика официального запроса с указанием потребных ресурсов в количественных и качественных показателях).</w:t>
      </w:r>
      <w:bookmarkEnd w:id="19"/>
    </w:p>
    <w:p>
      <w:pPr>
        <w:pStyle w:val="Heading4"/>
        <w:numPr>
          <w:ilvl w:val="1"/>
          <w:numId w:val="3"/>
        </w:numPr>
        <w:ind w:left="0" w:hanging="0"/>
        <w:rPr>
          <w:rStyle w:val="Style8"/>
          <w:b w:val="false"/>
          <w:bCs w:val="false"/>
          <w:i w:val="false"/>
          <w:i w:val="false"/>
        </w:rPr>
      </w:pPr>
      <w:bookmarkStart w:id="20" w:name="_Toc202270167"/>
      <w:r>
        <w:rPr>
          <w:b/>
        </w:rPr>
        <w:t>Иные требования и сведения общего характера</w:t>
      </w:r>
      <w:bookmarkEnd w:id="20"/>
    </w:p>
    <w:p>
      <w:pPr>
        <w:pStyle w:val="Heading3"/>
        <w:numPr>
          <w:ilvl w:val="2"/>
          <w:numId w:val="3"/>
        </w:numPr>
        <w:ind w:left="0" w:hanging="0"/>
        <w:rPr>
          <w:rStyle w:val="Style8"/>
          <w:b w:val="false"/>
          <w:i w:val="false"/>
          <w:i w:val="false"/>
          <w:shd w:fill="auto" w:val="clear"/>
        </w:rPr>
      </w:pPr>
      <w:bookmarkStart w:id="21" w:name="_Toc202270168"/>
      <w:r>
        <w:rPr/>
        <w:t>Работы выполняются в таком объеме, который позволяет начать эксплуатацию результатов работ без проведения закупочных процедур Генеральным подрядчиком, включающих дополнительные объёмы каких-либо материалов, оборудования и работ, выявленных в процессе работ по текущему ремонту компрессоров. Работы считаются выполненными после приемки объекта из ремонта комиссией филиала ПАО «РусГидро» - «Саратовская ГЭС» с оформлением отчётной документации со стороны Субподрядчика.</w:t>
      </w:r>
      <w:bookmarkEnd w:id="21"/>
      <w:r>
        <w:rPr/>
        <w:t xml:space="preserve"> </w:t>
      </w:r>
    </w:p>
    <w:p>
      <w:pPr>
        <w:pStyle w:val="Heading1"/>
        <w:numPr>
          <w:ilvl w:val="0"/>
          <w:numId w:val="3"/>
        </w:numPr>
        <w:ind w:left="284" w:hanging="284"/>
        <w:rPr>
          <w:b/>
          <w:caps/>
          <w:lang w:val="ru-RU"/>
        </w:rPr>
      </w:pPr>
      <w:bookmarkStart w:id="22" w:name="_Toc51339693"/>
      <w:bookmarkStart w:id="23" w:name="_Toc202270169"/>
      <w:r>
        <w:rPr>
          <w:b/>
        </w:rPr>
        <w:t>Требования к продукции</w:t>
      </w:r>
      <w:bookmarkEnd w:id="22"/>
      <w:bookmarkEnd w:id="23"/>
    </w:p>
    <w:p>
      <w:pPr>
        <w:pStyle w:val="Heading4"/>
        <w:numPr>
          <w:ilvl w:val="1"/>
          <w:numId w:val="3"/>
        </w:numPr>
        <w:ind w:left="0" w:hanging="0"/>
        <w:rPr>
          <w:b/>
        </w:rPr>
      </w:pPr>
      <w:bookmarkStart w:id="24" w:name="_Toc202270170"/>
      <w:r>
        <w:rPr>
          <w:b/>
        </w:rPr>
        <w:t xml:space="preserve">Требования к объемам и срокам </w:t>
      </w:r>
      <w:r>
        <w:rPr>
          <w:b/>
          <w:lang w:val="ru-RU"/>
        </w:rPr>
        <w:t>выполнения работ</w:t>
      </w:r>
      <w:bookmarkEnd w:id="24"/>
    </w:p>
    <w:p>
      <w:pPr>
        <w:pStyle w:val="Heading3"/>
        <w:numPr>
          <w:ilvl w:val="2"/>
          <w:numId w:val="3"/>
        </w:numPr>
        <w:ind w:left="0" w:hanging="0"/>
        <w:rPr/>
      </w:pPr>
      <w:bookmarkStart w:id="25" w:name="_Toc202270171"/>
      <w:r>
        <w:rPr/>
        <w:t>Требования к видам и объемам работ</w:t>
      </w:r>
      <w:bookmarkEnd w:id="25"/>
    </w:p>
    <w:p>
      <w:pPr>
        <w:pStyle w:val="Normal"/>
        <w:numPr>
          <w:ilvl w:val="1"/>
          <w:numId w:val="9"/>
        </w:numPr>
        <w:tabs>
          <w:tab w:val="clear" w:pos="720"/>
          <w:tab w:val="left" w:pos="851" w:leader="none"/>
        </w:tabs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Разработка и согласование с Генеральным подрядчиком Технологической карты в соответствии с требованиями МДС 12-29.2006. </w:t>
      </w:r>
    </w:p>
    <w:p>
      <w:pPr>
        <w:pStyle w:val="Normal"/>
        <w:numPr>
          <w:ilvl w:val="1"/>
          <w:numId w:val="9"/>
        </w:numPr>
        <w:tabs>
          <w:tab w:val="clear" w:pos="720"/>
          <w:tab w:val="left" w:pos="851" w:leader="none"/>
        </w:tabs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Закупка материалов в соответствии с ведомостями объемов работ, транспортировка и доставка запасных частей и материалов на место проведения работ;</w:t>
      </w:r>
    </w:p>
    <w:p>
      <w:pPr>
        <w:pStyle w:val="Normal"/>
        <w:numPr>
          <w:ilvl w:val="1"/>
          <w:numId w:val="9"/>
        </w:numPr>
        <w:tabs>
          <w:tab w:val="clear" w:pos="720"/>
          <w:tab w:val="left" w:pos="851" w:leader="none"/>
        </w:tabs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Подготовительные работы:</w:t>
      </w:r>
    </w:p>
    <w:p>
      <w:pPr>
        <w:pStyle w:val="Normal"/>
        <w:tabs>
          <w:tab w:val="clear" w:pos="720"/>
          <w:tab w:val="left" w:pos="851" w:leader="none"/>
        </w:tabs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- Пред ремонтный осмотр оборудования, уточнение с Генеральным подрядчиком ведомостей объемов работ;</w:t>
      </w:r>
    </w:p>
    <w:p>
      <w:pPr>
        <w:pStyle w:val="Normal"/>
        <w:numPr>
          <w:ilvl w:val="1"/>
          <w:numId w:val="9"/>
        </w:numPr>
        <w:tabs>
          <w:tab w:val="clear" w:pos="720"/>
          <w:tab w:val="left" w:pos="851" w:leader="none"/>
        </w:tabs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Поэтапная сдача выполненных работ представителю Генерального подрядчика, в соответствии с графиком выполнения работ;</w:t>
      </w:r>
    </w:p>
    <w:p>
      <w:pPr>
        <w:pStyle w:val="Normal"/>
        <w:numPr>
          <w:ilvl w:val="1"/>
          <w:numId w:val="9"/>
        </w:numPr>
        <w:tabs>
          <w:tab w:val="clear" w:pos="720"/>
          <w:tab w:val="left" w:pos="851" w:leader="none"/>
        </w:tabs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Текущий ремонт компрессоров фирмы Atlas Copco марки GA75FF ст.№№1;2;7;8;9 согласно ведомости объёмов работ №1; (Приложение №1 к Техническим требованиям);</w:t>
      </w:r>
    </w:p>
    <w:p>
      <w:pPr>
        <w:pStyle w:val="Normal"/>
        <w:numPr>
          <w:ilvl w:val="1"/>
          <w:numId w:val="9"/>
        </w:numPr>
        <w:tabs>
          <w:tab w:val="clear" w:pos="720"/>
          <w:tab w:val="left" w:pos="851" w:leader="none"/>
        </w:tabs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Слив с оборудования (при необходимости) масла в специальные емкости, передача масла в указанное Генеральным подрядчиком место;</w:t>
      </w:r>
    </w:p>
    <w:p>
      <w:pPr>
        <w:pStyle w:val="Normal"/>
        <w:numPr>
          <w:ilvl w:val="1"/>
          <w:numId w:val="9"/>
        </w:numPr>
        <w:tabs>
          <w:tab w:val="clear" w:pos="720"/>
          <w:tab w:val="left" w:pos="851" w:leader="none"/>
        </w:tabs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Сдача в эксплуатацию отремонтированного оборудования и участие в пусконаладочных испытаниях.</w:t>
      </w:r>
    </w:p>
    <w:p>
      <w:pPr>
        <w:pStyle w:val="Normal"/>
        <w:numPr>
          <w:ilvl w:val="1"/>
          <w:numId w:val="9"/>
        </w:numPr>
        <w:tabs>
          <w:tab w:val="clear" w:pos="720"/>
          <w:tab w:val="left" w:pos="851" w:leader="none"/>
        </w:tabs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Вывоз образовавшегося лома металлов на место, указанное Генеральным подрядчиком (территория Саратовской ГЭС);</w:t>
      </w:r>
    </w:p>
    <w:p>
      <w:pPr>
        <w:pStyle w:val="Normal"/>
        <w:numPr>
          <w:ilvl w:val="1"/>
          <w:numId w:val="9"/>
        </w:numPr>
        <w:tabs>
          <w:tab w:val="clear" w:pos="720"/>
          <w:tab w:val="left" w:pos="851" w:leader="none"/>
        </w:tabs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Предъявление Объекта ремонта комиссии Генерального подрядчика, оформление отчетной и исполнительной документации;</w:t>
      </w:r>
    </w:p>
    <w:p>
      <w:pPr>
        <w:pStyle w:val="Style27"/>
        <w:numPr>
          <w:ilvl w:val="0"/>
          <w:numId w:val="0"/>
        </w:numPr>
        <w:ind w:left="0" w:hanging="0"/>
        <w:jc w:val="left"/>
        <w:outlineLvl w:val="0"/>
        <w:rPr>
          <w:lang w:val="ru-RU"/>
        </w:rPr>
      </w:pPr>
      <w:bookmarkStart w:id="26" w:name="_Toc202270172"/>
      <w:r>
        <w:rPr/>
        <w:t>Таблица</w:t>
      </w:r>
      <w:r>
        <w:rPr>
          <w:lang w:val="ru-RU"/>
        </w:rPr>
        <w:t> 2</w:t>
      </w:r>
      <w:r>
        <w:rPr/>
        <w:t xml:space="preserve">. </w:t>
      </w:r>
      <w:r>
        <w:rPr>
          <w:lang w:val="ru-RU"/>
        </w:rPr>
        <w:t>Перечень и объем выполняемых работ</w:t>
      </w:r>
      <w:bookmarkEnd w:id="26"/>
    </w:p>
    <w:tbl>
      <w:tblPr>
        <w:tblW w:w="9698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738"/>
        <w:gridCol w:w="5845"/>
        <w:gridCol w:w="1702"/>
        <w:gridCol w:w="1412"/>
      </w:tblGrid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/ этапа работ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rPr>
                <w:iCs/>
              </w:rPr>
            </w:pPr>
            <w:r>
              <w:rPr>
                <w:iCs/>
              </w:rPr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установок Компрессорных GA75FF ст.№1,2 ЛБ и ст.№7,8,9 ПБ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ind w:left="319" w:hanging="283"/>
              <w:rPr>
                <w:iCs/>
              </w:rPr>
            </w:pPr>
            <w:r>
              <w:rPr>
                <w:iCs/>
              </w:rPr>
            </w: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 соответствии с ведомостью объемов работ (Приложение №1 к настоящим Техническим требованиям)</w:t>
            </w:r>
          </w:p>
        </w:tc>
      </w:tr>
    </w:tbl>
    <w:p>
      <w:pPr>
        <w:pStyle w:val="Normal"/>
        <w:widowControl w:val="false"/>
        <w:tabs>
          <w:tab w:val="clear" w:pos="720"/>
          <w:tab w:val="left" w:pos="426" w:leader="none"/>
        </w:tabs>
        <w:spacing w:before="120" w:after="120"/>
        <w:ind w:firstLine="142"/>
        <w:rPr>
          <w:bCs/>
          <w:sz w:val="24"/>
          <w:szCs w:val="24"/>
          <w:shd w:fill="FFFF99" w:val="clear"/>
        </w:rPr>
      </w:pPr>
      <w:r>
        <w:rPr>
          <w:bCs/>
          <w:sz w:val="24"/>
          <w:szCs w:val="24"/>
          <w:shd w:fill="FFFF99" w:val="clear"/>
        </w:rPr>
      </w:r>
    </w:p>
    <w:p>
      <w:pPr>
        <w:pStyle w:val="Heading3"/>
        <w:numPr>
          <w:ilvl w:val="2"/>
          <w:numId w:val="3"/>
        </w:numPr>
        <w:ind w:left="0" w:hanging="0"/>
        <w:rPr/>
      </w:pPr>
      <w:bookmarkStart w:id="27" w:name="_Toc202270173"/>
      <w:bookmarkStart w:id="28" w:name="_Toc51339696"/>
      <w:r>
        <w:rPr/>
        <w:t xml:space="preserve">Требования </w:t>
      </w:r>
      <w:bookmarkEnd w:id="28"/>
      <w:r>
        <w:rPr/>
        <w:t>к срокам выполнения работ</w:t>
      </w:r>
      <w:r>
        <w:rPr>
          <w:lang w:val="ru-RU"/>
        </w:rPr>
        <w:t>.</w:t>
      </w:r>
      <w:bookmarkEnd w:id="27"/>
    </w:p>
    <w:p>
      <w:pPr>
        <w:pStyle w:val="Normal"/>
        <w:numPr>
          <w:ilvl w:val="1"/>
          <w:numId w:val="20"/>
        </w:numPr>
        <w:tabs>
          <w:tab w:val="clear" w:pos="720"/>
          <w:tab w:val="left" w:pos="993" w:leader="none"/>
        </w:tabs>
        <w:rPr>
          <w:sz w:val="24"/>
          <w:szCs w:val="24"/>
          <w:lang w:eastAsia="x-none"/>
        </w:rPr>
      </w:pPr>
      <w:bookmarkStart w:id="29" w:name="_Toc50125127"/>
      <w:bookmarkStart w:id="30" w:name="_Toc51339697"/>
      <w:r>
        <w:rPr>
          <w:sz w:val="24"/>
          <w:szCs w:val="24"/>
          <w:lang w:eastAsia="x-none"/>
        </w:rPr>
        <w:t>Сроки выполнения работ по текущему ремонту компрессоров представлены в ведомости объемов работ №1 (Приложение №1 к Техническим требованиям) и Таблице 3. «Требования по срокам выполнения работ» настоящих ТТ.</w:t>
      </w:r>
    </w:p>
    <w:p>
      <w:pPr>
        <w:pStyle w:val="Normal"/>
        <w:numPr>
          <w:ilvl w:val="1"/>
          <w:numId w:val="20"/>
        </w:numPr>
        <w:tabs>
          <w:tab w:val="clear" w:pos="720"/>
          <w:tab w:val="left" w:pos="567" w:leader="none"/>
          <w:tab w:val="left" w:pos="851" w:leader="none"/>
        </w:tabs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 </w:t>
      </w:r>
      <w:r>
        <w:rPr>
          <w:sz w:val="24"/>
          <w:szCs w:val="24"/>
          <w:lang w:eastAsia="x-none"/>
        </w:rPr>
        <w:t>Сроки проведения работ по текущему ремонту компрессоров могут быть изменены в связи с режимом работы Саратовской ГЭС и фактическим состоянием оборудования в соответствии с подаваемыми ежегодными и месячными плановыми графиками ремонтов основного оборудования, и согласованными диспетчерскими заявками.</w:t>
      </w:r>
    </w:p>
    <w:p>
      <w:pPr>
        <w:pStyle w:val="Heading1"/>
        <w:tabs>
          <w:tab w:val="clear" w:pos="0"/>
        </w:tabs>
        <w:rPr>
          <w:b/>
          <w:lang w:val="ru-RU"/>
        </w:rPr>
      </w:pPr>
      <w:bookmarkStart w:id="31" w:name="_Toc202270174"/>
      <w:r>
        <w:rPr>
          <w:b/>
        </w:rPr>
        <w:t xml:space="preserve">Таблица </w:t>
      </w:r>
      <w:r>
        <w:rPr>
          <w:b/>
          <w:lang w:val="ru-RU"/>
        </w:rPr>
        <w:t>3</w:t>
      </w:r>
      <w:r>
        <w:rPr>
          <w:b/>
        </w:rPr>
        <w:t xml:space="preserve">. </w:t>
      </w:r>
      <w:bookmarkStart w:id="32" w:name="_Hlk50465284"/>
      <w:r>
        <w:rPr>
          <w:b/>
        </w:rPr>
        <w:t xml:space="preserve">Требования по срокам </w:t>
      </w:r>
      <w:bookmarkEnd w:id="29"/>
      <w:bookmarkEnd w:id="30"/>
      <w:bookmarkEnd w:id="32"/>
      <w:r>
        <w:rPr>
          <w:b/>
          <w:lang w:val="ru-RU"/>
        </w:rPr>
        <w:t>выполнения работ</w:t>
      </w:r>
      <w:bookmarkEnd w:id="31"/>
    </w:p>
    <w:tbl>
      <w:tblPr>
        <w:tblW w:w="97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36"/>
        <w:gridCol w:w="2944"/>
        <w:gridCol w:w="2980"/>
        <w:gridCol w:w="3115"/>
      </w:tblGrid>
      <w:tr>
        <w:trPr/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 Компрессора  GA75FF ст.№1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 01.04.2027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по 30.04.2027</w:t>
            </w:r>
          </w:p>
        </w:tc>
      </w:tr>
      <w:tr>
        <w:trPr/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 Компрессора  GA75FF ст.№2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 01.04.2027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по 30.04.2027</w:t>
            </w:r>
          </w:p>
        </w:tc>
      </w:tr>
      <w:tr>
        <w:trPr/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Компрессора  GA75FF ст.№7</w:t>
            </w:r>
          </w:p>
        </w:tc>
        <w:tc>
          <w:tcPr>
            <w:tcW w:w="2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 01.06.2027</w:t>
            </w:r>
          </w:p>
        </w:tc>
        <w:tc>
          <w:tcPr>
            <w:tcW w:w="3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по 30.06.2027</w:t>
            </w:r>
          </w:p>
        </w:tc>
      </w:tr>
      <w:tr>
        <w:trPr/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 Компрессора  GA75FF ст.№8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 01.06.2027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по 30.06.2027</w:t>
            </w:r>
          </w:p>
        </w:tc>
      </w:tr>
      <w:tr>
        <w:trPr/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 Компрессора  GA75FF ст.№9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 01.06.2027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hd w:fill="FFFFFF" w:val="clear"/>
              </w:rPr>
            </w:pPr>
            <w:bookmarkStart w:id="33" w:name="_Toc46743510"/>
            <w:r>
              <w:rPr>
                <w:sz w:val="24"/>
                <w:szCs w:val="24"/>
                <w:shd w:fill="FFFFFF" w:val="clear"/>
              </w:rPr>
              <w:t>по 10.12.2027</w:t>
            </w:r>
            <w:bookmarkEnd w:id="33"/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4"/>
        <w:numPr>
          <w:ilvl w:val="1"/>
          <w:numId w:val="3"/>
        </w:numPr>
        <w:ind w:left="0" w:hanging="0"/>
        <w:rPr>
          <w:b/>
        </w:rPr>
      </w:pPr>
      <w:bookmarkStart w:id="34" w:name="_Toc51339698"/>
      <w:bookmarkStart w:id="35" w:name="_Toc202270175"/>
      <w:r>
        <w:rPr>
          <w:b/>
        </w:rPr>
        <w:t xml:space="preserve">Требования к </w:t>
      </w:r>
      <w:r>
        <w:rPr>
          <w:b/>
          <w:lang w:val="ru-RU"/>
        </w:rPr>
        <w:t>качеству работ</w:t>
      </w:r>
      <w:bookmarkEnd w:id="35"/>
    </w:p>
    <w:p>
      <w:pPr>
        <w:pStyle w:val="Heading1"/>
        <w:tabs>
          <w:tab w:val="clear" w:pos="0"/>
        </w:tabs>
        <w:rPr>
          <w:b/>
        </w:rPr>
      </w:pPr>
      <w:bookmarkStart w:id="36" w:name="_Toc202270176"/>
      <w:r>
        <w:rPr>
          <w:b/>
        </w:rPr>
        <w:t>Таблица </w:t>
      </w:r>
      <w:r>
        <w:rPr>
          <w:b/>
          <w:lang w:val="ru-RU"/>
        </w:rPr>
        <w:t>4</w:t>
      </w:r>
      <w:r>
        <w:rPr>
          <w:b/>
        </w:rPr>
        <w:t xml:space="preserve">. Требования к </w:t>
      </w:r>
      <w:bookmarkEnd w:id="34"/>
      <w:r>
        <w:rPr>
          <w:b/>
          <w:lang w:val="ru-RU"/>
        </w:rPr>
        <w:t>качеству работ</w:t>
      </w:r>
      <w:bookmarkEnd w:id="36"/>
      <w:r>
        <w:rPr>
          <w:b/>
        </w:rPr>
        <w:t xml:space="preserve"> </w:t>
      </w:r>
    </w:p>
    <w:p>
      <w:pPr>
        <w:pStyle w:val="Normal"/>
        <w:snapToGrid w:val="false"/>
        <w:spacing w:before="0"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Наименование работ/этапа работ (позиция № 1Таблицы 2): </w:t>
      </w:r>
      <w:r>
        <w:rPr>
          <w:bCs/>
          <w:sz w:val="24"/>
          <w:szCs w:val="24"/>
        </w:rPr>
        <w:t>Текущий ремонт установок Компрессорных GA75FF ст.№1,2 ЛБ и ст.№7,8,9 ПБ</w:t>
      </w:r>
      <w:r>
        <w:rPr>
          <w:iCs/>
          <w:sz w:val="24"/>
          <w:szCs w:val="24"/>
        </w:rPr>
        <w:t xml:space="preserve"> В соответствии с ведомостью объемов работ (Приложение №1 к настоящим Техническим требованиям)</w:t>
      </w:r>
    </w:p>
    <w:p>
      <w:pPr>
        <w:pStyle w:val="Normal"/>
        <w:snapToGrid w:val="false"/>
        <w:spacing w:before="0" w:after="120"/>
        <w:rPr>
          <w:rStyle w:val="Style8"/>
          <w:b w:val="false"/>
          <w:i w:val="false"/>
          <w:i w:val="false"/>
          <w:iCs/>
          <w:sz w:val="24"/>
          <w:szCs w:val="24"/>
        </w:rPr>
      </w:pPr>
      <w:r>
        <w:rPr>
          <w:b w:val="false"/>
          <w:i w:val="false"/>
          <w:iCs/>
          <w:sz w:val="24"/>
          <w:szCs w:val="24"/>
        </w:rPr>
      </w:r>
    </w:p>
    <w:tbl>
      <w:tblPr>
        <w:tblStyle w:val="affff6"/>
        <w:tblW w:w="15026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20"/>
        <w:gridCol w:w="2347"/>
        <w:gridCol w:w="11859"/>
      </w:tblGrid>
      <w:tr>
        <w:trPr/>
        <w:tc>
          <w:tcPr>
            <w:tcW w:w="8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3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1185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Генерального подрядчика</w:t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23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185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420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Требования к выполнению работ </w:t>
            </w:r>
          </w:p>
        </w:tc>
      </w:tr>
      <w:tr>
        <w:trPr>
          <w:trHeight w:val="1605" w:hRule="atLeast"/>
        </w:trPr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420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выполнению работ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3"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Работы по текущему ремонту компрессоров фирмы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Atlas Copco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марки GA75FF выполняются в соответствии с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x-none" w:bidi="ar-SA"/>
              </w:rPr>
              <w:t>ведомостью объемов работ №1 (Приложение №1 к Техническим требованиям) и Таблице 3. «Требования по срокам выполнения работ» настоящих ТТ</w:t>
            </w:r>
          </w:p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Ведомость объёмов работ №1  может быть скорректирована в соответствии с графиком ремонтов оборудования.</w:t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234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Соблюдение при выполнении работ норм и правил нормативно-технических документов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85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При выполнении работ субподрядчик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Normal"/>
              <w:widowControl w:val="false"/>
              <w:numPr>
                <w:ilvl w:val="1"/>
                <w:numId w:val="12"/>
              </w:numPr>
              <w:suppressAutoHyphens w:val="true"/>
              <w:spacing w:before="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заводская инструкция по эксплуатации компрессоров фирмы Atlas Copco марки GA75FF.</w:t>
            </w:r>
          </w:p>
          <w:p>
            <w:pPr>
              <w:pStyle w:val="Normal"/>
              <w:widowControl w:val="false"/>
              <w:numPr>
                <w:ilvl w:val="1"/>
                <w:numId w:val="12"/>
              </w:numPr>
              <w:suppressAutoHyphens w:val="true"/>
              <w:spacing w:before="0" w:after="0"/>
              <w:jc w:val="left"/>
              <w:rPr>
                <w:iCs/>
                <w:sz w:val="24"/>
                <w:szCs w:val="24"/>
              </w:rPr>
            </w:pPr>
            <w:hyperlink r:id="rId5" w:tgtFrame="&quot;ГОСТ 31336-2006 (ИСО 2151:2004) Шум машин. Технические методы измерения шума ...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lang w:val="ru-RU" w:eastAsia="ru-RU" w:bidi="ar-SA"/>
                </w:rPr>
                <w:t>ГОСТ 31336-2006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 Шум машин. Технологические методы измерения шума компрессоров и вакуумных насосов.</w:t>
            </w:r>
          </w:p>
          <w:p>
            <w:pPr>
              <w:pStyle w:val="Normal"/>
              <w:widowControl w:val="false"/>
              <w:numPr>
                <w:ilvl w:val="1"/>
                <w:numId w:val="12"/>
              </w:numPr>
              <w:tabs>
                <w:tab w:val="clear" w:pos="720"/>
                <w:tab w:val="left" w:pos="381" w:leader="none"/>
              </w:tabs>
              <w:suppressAutoHyphens w:val="true"/>
              <w:spacing w:before="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hyperlink r:id="rId6" w:tgtFrame="&quot;ГОСТ 12.2.016-81 Система стандартов безопасности труда (ССБТ) Оборудование ...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lang w:val="ru-RU" w:eastAsia="ru-RU" w:bidi="ar-SA"/>
                </w:rPr>
                <w:t>ГОСТ 12.2.016-81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 Система стандартов безопасности труда. Оборудование компрессорное. Общие требования безопасности.</w:t>
            </w:r>
          </w:p>
          <w:p>
            <w:pPr>
              <w:pStyle w:val="Normal"/>
              <w:widowControl w:val="false"/>
              <w:numPr>
                <w:ilvl w:val="1"/>
                <w:numId w:val="12"/>
              </w:numPr>
              <w:suppressAutoHyphens w:val="true"/>
              <w:spacing w:before="0" w:after="0"/>
              <w:jc w:val="left"/>
              <w:rPr>
                <w:iCs/>
                <w:sz w:val="24"/>
                <w:szCs w:val="24"/>
              </w:rPr>
            </w:pPr>
            <w:hyperlink r:id="rId7" w:tgtFrame="&quot;РД 153-34.0-03.301-00 (ВППБ 01-02-95*) Правила пожарной безопасности для энергетических предприятий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lang w:val="ru-RU" w:eastAsia="ru-RU" w:bidi="ar-SA"/>
                </w:rPr>
                <w:t>РД 153-34.0-03.301-00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 (</w:t>
            </w:r>
            <w:hyperlink r:id="rId8" w:tgtFrame="&quot;РД 153-34.0-03.301-00 (ВППБ 01-02-95*) Правила пожарной безопасности для энергетических предприятий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lang w:val="ru-RU" w:eastAsia="ru-RU" w:bidi="ar-SA"/>
                </w:rPr>
                <w:t>ВППБ 01-02-95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*). Правила пожарной безопасности для энергетических предприятий" </w:t>
            </w:r>
          </w:p>
          <w:p>
            <w:pPr>
              <w:pStyle w:val="Normal"/>
              <w:widowControl w:val="false"/>
              <w:numPr>
                <w:ilvl w:val="1"/>
                <w:numId w:val="12"/>
              </w:numPr>
              <w:suppressAutoHyphens w:val="true"/>
              <w:spacing w:before="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Приказ Минтруда РФ </w:t>
            </w:r>
            <w:hyperlink r:id="rId9" w:tgtFrame="&quot;Об утверждении Правил по охране труда при работе на высоте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lang w:val="ru-RU" w:eastAsia="ru-RU" w:bidi="ar-SA"/>
                </w:rPr>
                <w:t>от 16.11.2020 N 782Н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 об утверждении Правил по охране труда при работе на высоте — Редакция от 16.11.2020</w:t>
            </w:r>
          </w:p>
          <w:p>
            <w:pPr>
              <w:pStyle w:val="Normal"/>
              <w:widowControl w:val="false"/>
              <w:numPr>
                <w:ilvl w:val="1"/>
                <w:numId w:val="12"/>
              </w:numPr>
              <w:suppressAutoHyphens w:val="true"/>
              <w:spacing w:before="0" w:after="0"/>
              <w:jc w:val="left"/>
              <w:rPr>
                <w:iCs/>
                <w:sz w:val="24"/>
                <w:szCs w:val="24"/>
              </w:rPr>
            </w:pPr>
            <w:hyperlink r:id="rId10" w:tgtFrame="&quot;Инструкция о мерах пожарной безопасности при проведении огневых работ на энергетических предприятиях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lang w:val="ru-RU" w:eastAsia="ru-RU" w:bidi="ar-SA"/>
                </w:rPr>
                <w:t>СО 153-34.03.305-2003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 «Инструкция о мерах пожарной безопасности при проведении огневых работ на энергетических предприятиях»;</w:t>
            </w:r>
          </w:p>
          <w:p>
            <w:pPr>
              <w:pStyle w:val="Normal"/>
              <w:widowControl w:val="false"/>
              <w:numPr>
                <w:ilvl w:val="1"/>
                <w:numId w:val="12"/>
              </w:numPr>
              <w:suppressAutoHyphens w:val="true"/>
              <w:spacing w:before="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Приказ Минтруда и социальной защиты Российской Федерации от 15 декабря 2020 года N 903н Об утверждении Правил по охране труда при эксплуатации электроустановок;</w:t>
            </w:r>
          </w:p>
          <w:p>
            <w:pPr>
              <w:pStyle w:val="Normal"/>
              <w:widowControl w:val="false"/>
              <w:numPr>
                <w:ilvl w:val="1"/>
                <w:numId w:val="12"/>
              </w:numPr>
              <w:suppressAutoHyphens w:val="true"/>
              <w:spacing w:before="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Приказ Минтруда России </w:t>
            </w:r>
            <w:hyperlink r:id="rId11" w:tgtFrame="&quot;Об утверждении Правил по охране труда при размещении, монтаже, техническом обслуживании и ремонте технологического оборудования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lang w:val="ru-RU" w:eastAsia="ru-RU" w:bidi="ar-SA"/>
                </w:rPr>
                <w:t>от 27.11.2020 N 833н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 "Об утверждении Правил по охране труда при размещении, монтаже, техническом обслуживании и ремонте технологического оборудования" (Зарегистрировано в Минюсте России 11.12.2020 N 61413) </w:t>
            </w:r>
          </w:p>
          <w:p>
            <w:pPr>
              <w:pStyle w:val="Normal"/>
              <w:widowControl w:val="false"/>
              <w:numPr>
                <w:ilvl w:val="1"/>
                <w:numId w:val="12"/>
              </w:numPr>
              <w:suppressAutoHyphens w:val="true"/>
              <w:spacing w:before="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Приказ Минтруда России </w:t>
            </w:r>
            <w:hyperlink r:id="rId12" w:tgtFrame="&quot;Об утверждении Правил по охране труда при работе с инструментом и приспособлениями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lang w:val="ru-RU" w:eastAsia="ru-RU" w:bidi="ar-SA"/>
                </w:rPr>
                <w:t>от 27.11.2020 N 835н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 "Об утверждении Правил по охране труда при работе с инструментом и приспособлениями" (Зарегистрировано в Минюсте России 11.12.2020 N 61411);</w:t>
            </w:r>
          </w:p>
          <w:p>
            <w:pPr>
              <w:pStyle w:val="Normal"/>
              <w:widowControl w:val="false"/>
              <w:numPr>
                <w:ilvl w:val="1"/>
                <w:numId w:val="12"/>
              </w:numPr>
              <w:suppressAutoHyphens w:val="true"/>
              <w:spacing w:before="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РД 153 -34.0-03.301-00 (</w:t>
            </w:r>
            <w:hyperlink r:id="rId13" w:tgtFrame="&quot;РД 153-34.0-03.301-00 (ВППБ 01-02-95*) Правила пожарной безопасности для энергетических предприятий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lang w:val="ru-RU" w:eastAsia="ru-RU" w:bidi="ar-SA"/>
                </w:rPr>
                <w:t>ВППБ 01-02-95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) «Правила пожарной безопасности для энергетических предприятий»;</w:t>
            </w:r>
          </w:p>
          <w:p>
            <w:pPr>
              <w:pStyle w:val="Normal"/>
              <w:widowControl w:val="false"/>
              <w:numPr>
                <w:ilvl w:val="1"/>
                <w:numId w:val="12"/>
              </w:numPr>
              <w:suppressAutoHyphens w:val="true"/>
              <w:spacing w:before="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Постановление Правительства РФ </w:t>
            </w:r>
            <w:hyperlink r:id="rId14" w:tgtFrame="&quot;Об утверждении Правил противопожарного режима в Российской Федерации (с изменениями на 21 мая 2021 года)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lang w:val="ru-RU" w:eastAsia="ru-RU" w:bidi="ar-SA"/>
                </w:rPr>
                <w:t>от 16 сентября 2020 г. N 1479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 «Об утверждении Правил противопожарного режима в Российской Федерации»;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420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организации работ.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b/>
                <w:lang w:eastAsia="x-none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Работы выполняются в соответствии с НТД, указанными в п. 1.1.1 раздела 1.1 настоящих ТТ;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165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Работы выполняются в соответствии утвержденной Заказчиком технологической картой разработанной Исполнителем за 30 календарных дней до начала работ.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b/>
                <w:lang w:eastAsia="x-none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Согласование со службой эксплуатации Саратовской ГЭС мест подключения временных коммуникаций (технические условия на подключения выдаются после получения от Субподрядчика официального запроса с указанием потребных ресурсов в количественных и качественных показателях);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b/>
                <w:lang w:eastAsia="x-none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Текущий контроль должен включать в себя надзор за правильностью и последовательностью выполнения отдельных технологических операций.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b/>
                <w:lang w:eastAsia="x-none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Приемочный контроль Перечень этапов и видов работ, подлежащих приемке, должен быть согласован с Генеральным подрядчиком.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b/>
                <w:lang w:eastAsia="x-none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Передача по акту приемки-передачи на склад Генерального подрядчика демонтированного оборудования и   материалов.</w:t>
            </w:r>
          </w:p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2347" w:type="dxa"/>
            <w:tcBorders/>
            <w:shd w:color="auto" w:fill="FF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Организационно-технические мероприятия по допуску персонала субподрядчика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1859" w:type="dxa"/>
            <w:tcBorders/>
            <w:shd w:color="auto" w:fill="FF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37" w:leader="none"/>
              </w:tabs>
              <w:suppressAutoHyphens w:val="true"/>
              <w:spacing w:before="0" w:after="0"/>
              <w:ind w:left="57" w:firstLine="283"/>
              <w:jc w:val="both"/>
              <w:rPr>
                <w:rFonts w:ascii="Times New Roman" w:hAnsi="Times New Roman" w:eastAsia="Times New Roman" w:cs="Times New Roman"/>
                <w:kern w:val="0"/>
                <w:lang w:val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Допуск персонала Субподрядчика для выполнения Работ осуществляется в соответствии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zh-CN" w:bidi="ar-SA"/>
              </w:rPr>
              <w:t xml:space="preserve">с Приказом ПАО_РусГидро от 28.04.2023 №300_Об утверждении Регламента процесса Допуск подрядных организаций на объекты ПАО РусГидро </w:t>
            </w: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 xml:space="preserve"> Приложение 3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7" w:leader="none"/>
              </w:tabs>
              <w:suppressAutoHyphens w:val="true"/>
              <w:spacing w:before="0" w:after="0"/>
              <w:ind w:left="57" w:firstLine="283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Подготовку рабочих мест и допуск к выполнению работ выполняет персонал Саратовской ГЭС.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4206" w:type="dxa"/>
            <w:gridSpan w:val="2"/>
            <w:tcBorders/>
            <w:shd w:color="auto" w:fill="FFFFFF" w:val="clear"/>
            <w:vAlign w:val="center"/>
          </w:tcPr>
          <w:p>
            <w:pPr>
              <w:pStyle w:val="ListParagraph"/>
              <w:widowControl w:val="false"/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b/>
              </w:rPr>
            </w:pPr>
            <w:r>
              <w:rPr>
                <w:rFonts w:cs="Times New Roman"/>
                <w:b/>
                <w:kern w:val="0"/>
                <w:lang w:val="ru-RU" w:eastAsia="ru-RU" w:bidi="ar-SA"/>
              </w:rPr>
              <w:t>Требования к применяемым при выполнении работ оборудованию, материалам, технологиям, программно-аппаратным средствам.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b/>
                <w:lang w:eastAsia="x-none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Материалы и запасные части, необходимые для выполнения работ по ремонту оборудования, поставляются согласно ведомости объёмов работ №1 на текущий ремонт компрессоров Atlas Copco марки GA75FF филиала ПАО «РусГидро» - «Саратовская ГЭС» в 2027 г. (Приложение №1 к Техническим требованиям);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b/>
                <w:lang w:eastAsia="x-none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 xml:space="preserve">Использование материалов и запасных частей не соответствующих ведомостям объемов работ, но схожих по своим свойствам и техническим характеристикам допускается, только при письменном согласовании с Генеральным подрядчиком и Заказчиком; 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b/>
                <w:lang w:eastAsia="x-none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 xml:space="preserve">Качество запасных частей должно подтверждаться сертификатами качества заводов-изготовителей; 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b/>
                <w:lang w:eastAsia="x-none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 xml:space="preserve">Для ремонтов компрессоров Atlas Copco марки GA75FF доставку осуществлять: 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b/>
                <w:lang w:eastAsia="x-none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 xml:space="preserve">запасных частей - за 20 календарных дней до начала ремонта, 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b/>
                <w:lang w:eastAsia="x-none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 xml:space="preserve">материалов - в соответствии с потребностью производства работ для соблюдения календарного графика работ; 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b/>
                <w:lang w:eastAsia="x-none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 xml:space="preserve">Все доставляемые запасные части, и материалы должны быть новыми и не использованными ранее;  </w:t>
            </w:r>
          </w:p>
          <w:p>
            <w:pPr>
              <w:pStyle w:val="ListParagraph"/>
              <w:widowControl w:val="false"/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2347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Требования к используемым запасным частям и материалам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18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Запасные части и материалы, необходимые для выполнения работ по ремонту оборудования, приобретаются субподрядчиком самостоятельно согласно ведомостям объемов работ. (Приложение №1 к Техническим требованиям)</w:t>
              <w:br/>
              <w:t>Все поставляемые и применяемые запасные части и материалы должны быть новыми и не использованными ранее.</w:t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420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контролю качества работ и материалов</w:t>
            </w:r>
          </w:p>
          <w:p>
            <w:pPr>
              <w:pStyle w:val="Normal"/>
              <w:widowControl w:val="false"/>
              <w:numPr>
                <w:ilvl w:val="2"/>
                <w:numId w:val="14"/>
              </w:numPr>
              <w:tabs>
                <w:tab w:val="clear" w:pos="720"/>
                <w:tab w:val="left" w:pos="564" w:leader="none"/>
              </w:tabs>
              <w:suppressAutoHyphens w:val="true"/>
              <w:spacing w:before="0" w:after="0"/>
              <w:ind w:left="-48" w:firstLine="142"/>
              <w:jc w:val="both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На доставляемые материалы и запасные части должны быть предоставлены заводские паспорта, сертификаты качества, техническая документация в полном объеме на бумажном носителе (1 экземпляр) и электронном носителе (1 экземпляр);</w:t>
            </w:r>
          </w:p>
          <w:p>
            <w:pPr>
              <w:pStyle w:val="Normal"/>
              <w:widowControl w:val="false"/>
              <w:numPr>
                <w:ilvl w:val="2"/>
                <w:numId w:val="14"/>
              </w:numPr>
              <w:tabs>
                <w:tab w:val="clear" w:pos="720"/>
                <w:tab w:val="left" w:pos="564" w:leader="none"/>
              </w:tabs>
              <w:suppressAutoHyphens w:val="true"/>
              <w:spacing w:before="0" w:after="0"/>
              <w:ind w:left="-48" w:firstLine="142"/>
              <w:jc w:val="both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Генеральный подрядчик вправе передавать Субподрядчику материалы и запасные части в качестве давальческих, по письменному согласованию сторон, в аварийных и при следующих случаях:</w:t>
            </w:r>
          </w:p>
          <w:p>
            <w:pPr>
              <w:pStyle w:val="Normal"/>
              <w:widowControl w:val="false"/>
              <w:numPr>
                <w:ilvl w:val="2"/>
                <w:numId w:val="14"/>
              </w:numPr>
              <w:tabs>
                <w:tab w:val="clear" w:pos="720"/>
                <w:tab w:val="left" w:pos="564" w:leader="none"/>
              </w:tabs>
              <w:suppressAutoHyphens w:val="true"/>
              <w:spacing w:before="0" w:after="0"/>
              <w:ind w:left="-48" w:firstLine="142"/>
              <w:jc w:val="both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В случае несвоевременного приобретения (до начала ремонта оборудования) Субподрядчиком материалов и запасных частей, указанных в ведомости объёмов работ №1 (Приложение №1 к Техническим требованиям) - с последующим восполнением использованных за счет средств Субподрядчика.</w:t>
            </w:r>
          </w:p>
          <w:p>
            <w:pPr>
              <w:pStyle w:val="Normal"/>
              <w:widowControl w:val="false"/>
              <w:numPr>
                <w:ilvl w:val="2"/>
                <w:numId w:val="14"/>
              </w:numPr>
              <w:tabs>
                <w:tab w:val="clear" w:pos="720"/>
                <w:tab w:val="left" w:pos="564" w:leader="none"/>
              </w:tabs>
              <w:suppressAutoHyphens w:val="true"/>
              <w:spacing w:before="0" w:after="0"/>
              <w:ind w:left="-48" w:firstLine="142"/>
              <w:jc w:val="both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В случае отсутствия материалов и запасных частей в ведомости объёмов работ №1 (Приложение №1 к Техническим требованиям) с последующим восполнением использованных за счет средств Генерального подрядчика. </w:t>
            </w:r>
          </w:p>
          <w:p>
            <w:pPr>
              <w:pStyle w:val="Normal"/>
              <w:widowControl w:val="false"/>
              <w:numPr>
                <w:ilvl w:val="2"/>
                <w:numId w:val="14"/>
              </w:numPr>
              <w:tabs>
                <w:tab w:val="clear" w:pos="720"/>
                <w:tab w:val="left" w:pos="564" w:leader="none"/>
              </w:tabs>
              <w:suppressAutoHyphens w:val="true"/>
              <w:spacing w:before="0" w:after="0"/>
              <w:ind w:left="-48" w:firstLine="142"/>
              <w:jc w:val="both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Субподрядчик должен обеспечить входной контроль поступающих материалов. </w:t>
            </w:r>
          </w:p>
          <w:p>
            <w:pPr>
              <w:pStyle w:val="Normal"/>
              <w:widowControl w:val="false"/>
              <w:numPr>
                <w:ilvl w:val="2"/>
                <w:numId w:val="14"/>
              </w:numPr>
              <w:tabs>
                <w:tab w:val="clear" w:pos="720"/>
                <w:tab w:val="left" w:pos="564" w:leader="none"/>
              </w:tabs>
              <w:suppressAutoHyphens w:val="true"/>
              <w:spacing w:before="0" w:after="0"/>
              <w:ind w:left="-48" w:firstLine="142"/>
              <w:jc w:val="both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Входной контроль поступающих материалов должен включать проверку: 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а) наличия соответствующих сертификатов;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б) наличия и надлежащего заполнения документа о качестве и соответствии приведенных в нем данных - характеристикам, установленным в нормативном документе, регламентирующем технические требования к данной продукции; 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в) наличия маркировки, сохранности упаковки, наличия и сохранности защитных и окрасочных покрытий и т.п.; 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г) правильности складирования и хранения; 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д) комплектность поставляемых материалов. 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2347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Контроль качества используемых запасных частей и материалов</w:t>
            </w:r>
          </w:p>
        </w:tc>
        <w:tc>
          <w:tcPr>
            <w:tcW w:w="118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6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Субподрядчик должен обеспечить входной контроль поступающих материалов и запасных частей, включающий в себя проверку: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suppressAutoHyphens w:val="true"/>
              <w:spacing w:before="0" w:after="60"/>
              <w:ind w:left="37" w:hanging="0"/>
              <w:contextualSpacing w:val="false"/>
              <w:jc w:val="left"/>
              <w:rPr>
                <w:rFonts w:eastAsia="Times New Roman"/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наличия соответствующих сертификатов в соответствии с требованиями постановления Правительства Российской Федерации от 23.12.2021 N 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Федерации";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suppressAutoHyphens w:val="true"/>
              <w:spacing w:before="0" w:after="60"/>
              <w:ind w:left="37" w:hanging="0"/>
              <w:contextualSpacing w:val="false"/>
              <w:jc w:val="left"/>
              <w:rPr>
                <w:rFonts w:eastAsia="Times New Roman"/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suppressAutoHyphens w:val="true"/>
              <w:spacing w:before="0" w:after="60"/>
              <w:ind w:left="37" w:hanging="0"/>
              <w:contextualSpacing w:val="false"/>
              <w:jc w:val="left"/>
              <w:rPr>
                <w:rFonts w:eastAsia="Times New Roman"/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наличия маркировки, сохранности упаковки, наличия и сохранности защитных и окрасочных покрытий и т.п.;</w:t>
            </w:r>
          </w:p>
          <w:p>
            <w:pPr>
              <w:pStyle w:val="Normal"/>
              <w:widowControl w:val="false"/>
              <w:suppressAutoHyphens w:val="true"/>
              <w:spacing w:before="0" w:after="60"/>
              <w:ind w:left="37" w:hanging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комплектности поставляемых материалов.</w:t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420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 w:val="24"/>
                <w:szCs w:val="24"/>
                <w:lang w:eastAsia="x-none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персоналу субподрядчика</w:t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2347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Квалификация персонала субподрядчика, привлекаемого к выполнению работ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1859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37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1.Выполнение работ должно осуществляться силами: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37" w:leader="none"/>
              </w:tabs>
              <w:suppressAutoHyphens w:val="true"/>
              <w:spacing w:before="6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 xml:space="preserve">квалифицированный рабочий персонал по ремонту </w:t>
            </w:r>
            <w:r>
              <w:rPr>
                <w:rFonts w:cs="Times New Roman"/>
                <w:kern w:val="0"/>
                <w:lang w:val="ru-RU" w:eastAsia="ru-RU" w:bidi="ar-SA"/>
              </w:rPr>
              <w:t>компрессоров Atlas Copco</w:t>
            </w: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 xml:space="preserve"> с группами по электробезопасности (не ниже 3 группы) - не менее 2 человек;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37" w:leader="none"/>
              </w:tabs>
              <w:suppressAutoHyphens w:val="true"/>
              <w:spacing w:before="6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административно-технический персонал с указанием групп по электробезопасности (не ниже 3 группы) – не менее 1 человека;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2.До начала проведения работ в рамках исполнения договора после его заключения субподрядчик предоставляет список персонала с указанием сведений о квалификации персонала, разряде и группе по электробезопасности с приложением копий удостоверений на производство специальных видов работ (огневых, грузоподъемных, работ с электро - и пневмоинструментом) (возможно совмещение специальностей)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4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3.Соответствие требованию Субподрядчик должен подтвердить на стадии заключения договора, предоставлением сведений о персонале с правом доступа в электроустановки до 1000В, с указанием групп по электробезопасности и удостоверений с приложением подтверждающих документов (копий удостоверений и протоколы о проверке знаний). Предоставлением списка персонала, участвующего в выполнении работ с указанием квалификации и стажем работы по профессии.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7" w:leader="none"/>
                <w:tab w:val="left" w:pos="428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4.Предоставление списка персонала, имеющего право быть ответственными лицами при выполнении работ по наряду-допуску или распоряжению согласно Приказу Минтруда и социальной защиты, Российской Федерации от 15 декабря 2020 года N 903н Об утверждении Правил по охране труда при эксплуатации электроустановок.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420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безопасности работ и охране труда</w:t>
            </w:r>
          </w:p>
          <w:p>
            <w:pPr>
              <w:pStyle w:val="ListParagraph"/>
              <w:widowControl w:val="false"/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color w:val="FF0000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–</w:t>
            </w:r>
            <w:r>
              <w:rPr>
                <w:rFonts w:cs="Times New Roman"/>
                <w:color w:val="FF0000"/>
                <w:kern w:val="0"/>
                <w:lang w:val="ru-RU" w:eastAsia="ru-RU" w:bidi="ar-SA"/>
              </w:rPr>
              <w:t xml:space="preserve"> </w:t>
            </w:r>
            <w:r>
              <w:rPr>
                <w:rFonts w:cs="Times New Roman"/>
                <w:kern w:val="0"/>
                <w:lang w:val="ru-RU" w:eastAsia="ru-RU" w:bidi="ar-SA"/>
              </w:rPr>
              <w:t>технические и организационные возможности, комплектность персонала, безопасность производства работ должны соответствовать характеру выполняемых работ.</w:t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2347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Требования к безопасности выполняемых работ</w:t>
            </w:r>
          </w:p>
        </w:tc>
        <w:tc>
          <w:tcPr>
            <w:tcW w:w="118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283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Субподрядчик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 должен соблюдать требования действующего федерального законодательства Российской Федерации, нормативных правовых актов субъектов Российской Федерации, в том числе законодательство о недрах, охране окружающей среды, промышленной и пожарной безопасности, охране труда,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 по ремонту компрессоров;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jc w:val="left"/>
              <w:rPr>
                <w:iCs/>
              </w:rPr>
            </w:pPr>
            <w:r>
              <w:rPr>
                <w:rFonts w:cs="Times New Roman"/>
                <w:bCs/>
                <w:iCs/>
                <w:kern w:val="0"/>
                <w:lang w:val="ru-RU" w:eastAsia="ru-RU" w:bidi="ar-SA"/>
              </w:rPr>
              <w:t xml:space="preserve">     </w:t>
            </w:r>
            <w:r>
              <w:rPr>
                <w:rFonts w:cs="Times New Roman"/>
                <w:bCs/>
                <w:iCs/>
                <w:kern w:val="0"/>
                <w:lang w:val="ru-RU" w:eastAsia="ru-RU" w:bidi="ar-SA"/>
              </w:rPr>
              <w:t>Субподрядчик</w:t>
            </w:r>
            <w:r>
              <w:rPr>
                <w:rFonts w:cs="Times New Roman"/>
                <w:iCs/>
                <w:kern w:val="0"/>
                <w:lang w:val="ru-RU" w:eastAsia="ru-RU" w:bidi="ar-SA"/>
              </w:rPr>
              <w:t xml:space="preserve"> обязан </w:t>
            </w: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направлять на объекты заказчика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 по ремонту компрессоров.</w:t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420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результатам работ</w:t>
            </w:r>
          </w:p>
        </w:tc>
      </w:tr>
      <w:tr>
        <w:trPr>
          <w:trHeight w:val="2236" w:hRule="atLeast"/>
        </w:trPr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420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результатам работ</w:t>
            </w:r>
          </w:p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Работы выполняются в таком объеме, который позволяет начать эксплуатацию результатов работ без проведения закупочных процедур Генеральным подрядчиком, включающих дополнительные объёмы каких-либо материалов, оборудования и работ, выявленных в процессе </w:t>
            </w: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работ по текущему ремонту компрессоров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. Работы считаются выполненными после приемки объекта из ремонта комиссией филиала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ПАО «РусГидро» - «Саратовская ГЭС» с оформлением отчётной документации со стороны Субподрядчика.</w:t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2347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Результат работ</w:t>
            </w:r>
          </w:p>
        </w:tc>
        <w:tc>
          <w:tcPr>
            <w:tcW w:w="118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Произвести Текущий ремонт установок Компрессорных GA75FF ст.№1,2 ЛБ и ст.№7,8,9 ПБ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 в следующем объеме: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Выполнять дефектацию оборудования компрессора и воздухоохладителя с составлением акта о выявленных дефектах.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Заменить масло и масляный фильтр.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Заменить фильтрующий элемент воздушного фильтра.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Прочистить охладители.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Проверить показания давления и температуры.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Выполнить проверку светодиодов/экрана.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Выполнить проверку на отсутствие возможных утечек воздуха, масла и фреона.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Очистить фильтр автоматического дренажа конденсата. Проверить функцию аварийного отключения при перегреве.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Проверить уровень масла в компрессоре воздухоохладителя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Выполните испытание предохранительного клапана.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420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eastAsia="Calibri"/>
                <w:b/>
                <w:sz w:val="24"/>
                <w:szCs w:val="24"/>
                <w:lang w:eastAsia="x-none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  <w:r>
              <w:rPr>
                <w:rStyle w:val="Style8"/>
                <w:rFonts w:eastAsia="Times New Roman" w:cs="Times New Roman"/>
                <w:i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</w:t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2347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Производительность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Конечное давление,  рабочее</w:t>
            </w:r>
          </w:p>
        </w:tc>
        <w:tc>
          <w:tcPr>
            <w:tcW w:w="118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Не менее 11,05 м</w:t>
            </w:r>
            <w:r>
              <w:rPr>
                <w:rFonts w:eastAsia="Times New Roman" w:cs="Arial" w:ascii="Arial" w:hAnsi="Arial"/>
                <w:kern w:val="0"/>
                <w:sz w:val="24"/>
                <w:szCs w:val="24"/>
                <w:lang w:val="ru-RU" w:eastAsia="ru-RU" w:bidi="ar-SA"/>
              </w:rPr>
              <w:t>³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/мин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8,0 бар</w:t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420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порядку приемки результатов работ</w:t>
            </w:r>
            <w:r>
              <w:rPr>
                <w:rStyle w:val="Style8"/>
                <w:rFonts w:eastAsia="Times New Roman" w:cs="Times New Roman"/>
                <w:b w:val="false"/>
                <w:bCs/>
                <w:i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</w:t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2347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Проведение испытаний</w:t>
            </w:r>
          </w:p>
        </w:tc>
        <w:tc>
          <w:tcPr>
            <w:tcW w:w="11859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Перед передачей Генеральному подрядчику результатов работ субподрядчик должен провести испытания отремонтированных компрессоров. После этого Акт о проведении испытаний оборудования после ремонта должен быть передан Генеральному подрядчику вместе с пакетом документов, указанных в п. 2.4 настоящей таблицы.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420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оформлению документации</w:t>
            </w:r>
          </w:p>
          <w:p>
            <w:pPr>
              <w:pStyle w:val="Normal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ind w:left="61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Представить Генеральному подрядчику с актами выполненных работ и ведомостями выполненных работ исполнительную документацию (журналы ведения работ, сертификаты качества и паспорта на применённые материалы и оборудование, акты входного контроля качества поставляемых материалов);</w:t>
            </w:r>
          </w:p>
          <w:p>
            <w:pPr>
              <w:pStyle w:val="Normal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ind w:left="61" w:hanging="0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Журнал учета выполненных работ по форме КС-6А.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ind w:left="61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ind w:left="61" w:hanging="0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справка о фактических трудозатратах на выполненные работы.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73" w:leader="none"/>
              </w:tabs>
              <w:suppressAutoHyphens w:val="true"/>
              <w:spacing w:before="0" w:after="0"/>
              <w:ind w:left="61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suppressAutoHyphens w:val="true"/>
              <w:spacing w:before="60" w:after="0"/>
              <w:ind w:left="61" w:hanging="0"/>
              <w:contextualSpacing/>
              <w:jc w:val="left"/>
              <w:rPr>
                <w:b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 xml:space="preserve">Отчётные документы по ремонтам представить на бумажном носителе в 3 экземплярах, на электронном носителе в 1 экземпляре в форматах *.dwg, *.vsd, *.dос, *.хls.  </w:t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23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Документы, передаваемые Генеральному подрядчику по результатам выполненных работ</w:t>
            </w:r>
          </w:p>
        </w:tc>
        <w:tc>
          <w:tcPr>
            <w:tcW w:w="118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Субподрядчик обязан одновременно с передачей актов приемки выполненных работ по форме КС-2 передать Генеральному подрядчику Отчет о выполненных работах, включая: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rFonts w:eastAsia="Times New Roman"/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комиссионные акты входного контроля закупаемых субподрядчиком материалов (в произвольной форме) на соответствие продукции требованиям технической документации;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rFonts w:eastAsia="Times New Roman"/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сертификаты, подтверждающие качество и соответствие требованиям конструкторской и нормативно-технической документации материалов (форма завода-изготовителя);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rFonts w:eastAsia="Times New Roman"/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счета-фактуры на материалы, закупаемые субподрядчиком для использования в процессе ремонта;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rFonts w:eastAsia="Times New Roman"/>
                <w:iCs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с</w:t>
            </w:r>
            <w:r>
              <w:rPr>
                <w:rFonts w:cs="Times New Roman"/>
                <w:iCs/>
                <w:kern w:val="0"/>
                <w:lang w:val="ru-RU" w:eastAsia="ru-RU" w:bidi="ar-SA"/>
              </w:rPr>
              <w:t>правка о фактических трудозатратах на выполненные работы.</w:t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420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и гарантиям подрядчика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rFonts w:eastAsia="Times New Roman"/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В части текущего ремонта оборудования не менее 1 года с момента подписания Акта приемки выполненных работ.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rFonts w:eastAsia="Times New Roman"/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В случае повреждения оборудования, строительных конструкций в ходе выполнения ремонтных работ Субподрядчик обязуется устранить возникшие повреждения за свой счет в согласованные с Генеральным подрядчиком сроки, но не позднее 15 дней с момента подписания акта приемки в эксплуатацию по окончании ремонтных работ.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rFonts w:eastAsia="Times New Roman"/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 xml:space="preserve">Субподрядчик   обязуется   производить   в   течение   гарантийного   периода     эксплуатации устранение всех неисправностей, возникших из-за дефектов ремонта своими силами и за свой счет. 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rFonts w:eastAsia="Times New Roman"/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Гарантийный   период   эксплуатации   увеличивается   на   время   простоя оборудования, необходимое на устранение дефекта. Потери от простоя оборудования компенсирует Субподрядчик.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b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Для участия в составлении акта, фиксирующего дефекты, согласования порядка и сроков их устранения Субподрядчик обязан направить своего представителя в течение суток со дня получения письменного извещения Генерального подрядчика.</w:t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2347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bookmarkStart w:id="37" w:name="_Toc202270177"/>
            <w:r>
              <w:rPr>
                <w:rFonts w:eastAsia="Times New Roman" w:cs="Times New Roman"/>
                <w:b w:val="false"/>
                <w:iCs/>
                <w:kern w:val="0"/>
                <w:sz w:val="20"/>
                <w:szCs w:val="20"/>
                <w:lang w:val="ru-RU" w:eastAsia="ru-RU" w:bidi="ar-SA"/>
              </w:rPr>
              <w:t>Гарантийный срок на результат работ</w:t>
            </w:r>
            <w:bookmarkEnd w:id="37"/>
          </w:p>
        </w:tc>
        <w:tc>
          <w:tcPr>
            <w:tcW w:w="11859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jc w:val="left"/>
              <w:rPr>
                <w:bCs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Гарантийный срок на результат работ должен составлять 12 месяцев с даты подписания Акта о приемке выполненных работ КС-2</w:t>
            </w:r>
          </w:p>
        </w:tc>
      </w:tr>
      <w:tr>
        <w:trPr/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420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Cs/>
                <w:kern w:val="0"/>
                <w:sz w:val="24"/>
                <w:szCs w:val="24"/>
                <w:lang w:val="ru-RU" w:eastAsia="ru-RU" w:bidi="ar-SA"/>
              </w:rPr>
              <w:t>Требования к подрядчику (и субподрядчикам) и его обязательствам, влияющим на исполнение договора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Персонал Субподрядчика обеспечивает поддержание чистоты на рабочих местах, своевременную уборку ремонтной площадки и ликвидацию отходов по окончании Работ.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 xml:space="preserve">Субподрядчик своевременно предупреждает Генерального подрядчика о необходимости выполнения дополнительных Работ. 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Субподрядчик обеспечивает сохранность и возврат Генеральному подрядчику материалов, демонтированного оборудования или его частей (в том числе черных и цветных металлов), выбывших из эксплуатации в результате выполнения Работ, а также выбывших из эксплуатации в результате аварии, повреждения, с внесением соответствующих изменений в перечень Объектов.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Субподрядчик представляет Генеральному подрядчику по его запросу письменный отчет о текущем исполнении своих обязательств.</w:t>
            </w:r>
          </w:p>
        </w:tc>
      </w:tr>
      <w:tr>
        <w:trPr>
          <w:trHeight w:val="1660" w:hRule="atLeast"/>
        </w:trPr>
        <w:tc>
          <w:tcPr>
            <w:tcW w:w="82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23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Требования к субсубподрядным организациям, привлекаемым к выполнению работ</w:t>
            </w:r>
          </w:p>
        </w:tc>
        <w:tc>
          <w:tcPr>
            <w:tcW w:w="118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В случае привлечения к выполнению работ субсубподрядных организаций субподрядчик обязан представить Генеральному подрядчику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работ.</w:t>
            </w:r>
          </w:p>
        </w:tc>
      </w:tr>
    </w:tbl>
    <w:p>
      <w:pPr>
        <w:sectPr>
          <w:headerReference w:type="default" r:id="rId15"/>
          <w:headerReference w:type="first" r:id="rId16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  <w:r>
        <w:br w:type="page"/>
      </w:r>
    </w:p>
    <w:p>
      <w:pPr>
        <w:pStyle w:val="Heading1"/>
        <w:tabs>
          <w:tab w:val="clear" w:pos="0"/>
        </w:tabs>
        <w:ind w:left="4678" w:hanging="4678"/>
        <w:rPr>
          <w:b/>
          <w:caps/>
        </w:rPr>
      </w:pPr>
      <w:bookmarkStart w:id="38" w:name="_Toc202270178"/>
      <w:r>
        <w:rPr>
          <w:b/>
          <w:lang w:val="ru-RU"/>
        </w:rPr>
        <w:t>3.</w:t>
      </w:r>
      <w:r>
        <w:rPr>
          <w:b/>
        </w:rPr>
        <w:t>Приложения</w:t>
      </w:r>
      <w:bookmarkEnd w:id="38"/>
    </w:p>
    <w:p>
      <w:pPr>
        <w:pStyle w:val="Normal"/>
        <w:tabs>
          <w:tab w:val="clear" w:pos="720"/>
          <w:tab w:val="left" w:pos="750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>
      <w:pPr>
        <w:pStyle w:val="Normal"/>
        <w:tabs>
          <w:tab w:val="clear" w:pos="720"/>
          <w:tab w:val="left" w:pos="75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1 - Ведомость объемов работ № 1  на текущий ремонт компрессоров </w:t>
      </w:r>
      <w:r>
        <w:rPr>
          <w:bCs/>
          <w:sz w:val="24"/>
          <w:szCs w:val="24"/>
        </w:rPr>
        <w:t>Atlas   Copco</w:t>
      </w:r>
      <w:r>
        <w:rPr>
          <w:sz w:val="24"/>
          <w:szCs w:val="24"/>
        </w:rPr>
        <w:t xml:space="preserve"> марки GA75FF Саратовской ГЭС в 2027г.;                                                                                                      Приложение № 2- Требования к оформлению и составлению сметной документации на работы по программе ремонтов.</w:t>
      </w:r>
    </w:p>
    <w:p>
      <w:pPr>
        <w:pStyle w:val="Normal"/>
        <w:widowControl w:val="false"/>
        <w:tabs>
          <w:tab w:val="clear" w:pos="720"/>
          <w:tab w:val="left" w:pos="37" w:leader="none"/>
        </w:tabs>
        <w:ind w:left="57" w:hanging="0"/>
        <w:jc w:val="both"/>
        <w:rPr/>
      </w:pPr>
      <w:r>
        <w:rPr>
          <w:sz w:val="24"/>
          <w:szCs w:val="24"/>
        </w:rPr>
        <w:t xml:space="preserve">Приложение № 3 - Допуск персонала Субподрядчика для выполнения Работ осуществляется в соответствии </w:t>
      </w:r>
      <w:r>
        <w:rPr>
          <w:sz w:val="24"/>
          <w:szCs w:val="24"/>
          <w:lang w:eastAsia="zh-CN"/>
        </w:rPr>
        <w:t xml:space="preserve">с Приказом ПАО_РусГидро от 28.04.2023 №300_Об утверждении Регламента процесса Допуск подрядных организаций на объекты ПАО РусГидро </w:t>
      </w:r>
      <w:r>
        <w:rPr>
          <w:sz w:val="24"/>
          <w:szCs w:val="24"/>
        </w:rPr>
        <w:t xml:space="preserve"> </w:t>
      </w:r>
    </w:p>
    <w:sectPr>
      <w:headerReference w:type="default" r:id="rId17"/>
      <w:headerReference w:type="first" r:id="rId18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TimesNewRomanPSMT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 wp14:anchorId="7CB33F8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7CB33F8C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13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15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2.1.1.%2."/>
      <w:lvlJc w:val="left"/>
      <w:pPr>
        <w:tabs>
          <w:tab w:val="num" w:pos="0"/>
        </w:tabs>
        <w:ind w:left="0" w:hanging="0"/>
      </w:pPr>
      <w:rPr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lvl w:ilvl="0">
      <w:start w:val="4"/>
      <w:numFmt w:val="decimal"/>
      <w:lvlText w:val="%1."/>
      <w:lvlJc w:val="left"/>
      <w:pPr>
        <w:tabs>
          <w:tab w:val="num" w:pos="0"/>
        </w:tabs>
        <w:ind w:left="540" w:hanging="540"/>
      </w:pPr>
      <w:rPr/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540"/>
      </w:pPr>
      <w:rPr/>
    </w:lvl>
    <w:lvl w:ilvl="2">
      <w:start w:val="1"/>
      <w:numFmt w:val="bullet"/>
      <w:lvlText w:val="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7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40" w:hanging="1800"/>
      </w:pPr>
      <w:rPr/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2.1.2.%2."/>
      <w:lvlJc w:val="left"/>
      <w:pPr>
        <w:tabs>
          <w:tab w:val="num" w:pos="0"/>
        </w:tabs>
        <w:ind w:left="0" w:hanging="0"/>
      </w:pPr>
      <w:rPr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2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TW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b76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96c5f"/>
    <w:pPr>
      <w:keepNext w:val="true"/>
      <w:tabs>
        <w:tab w:val="clear" w:pos="720"/>
        <w:tab w:val="left" w:pos="0" w:leader="none"/>
      </w:tabs>
      <w:spacing w:before="120" w:after="60"/>
      <w:outlineLvl w:val="2"/>
    </w:pPr>
    <w:rPr>
      <w:rFonts w:eastAsia="Calibri"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1" w:customStyle="1">
    <w:name w:val="Гиперссылка1"/>
    <w:uiPriority w:val="99"/>
    <w:qFormat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96c5f"/>
    <w:rPr>
      <w:rFonts w:eastAsia="Calibri"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6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2" w:customStyle="1">
    <w:name w:val="Подпункт Знак1"/>
    <w:link w:val="Style21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29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3" w:customStyle="1">
    <w:name w:val="УРОВЕНЬ_1. Знак"/>
    <w:link w:val="110"/>
    <w:qFormat/>
    <w:rsid w:val="004a17ae"/>
    <w:rPr>
      <w:rFonts w:eastAsia="Calibri"/>
      <w:caps/>
      <w:sz w:val="28"/>
      <w:szCs w:val="28"/>
      <w:lang w:eastAsia="en-US"/>
    </w:rPr>
  </w:style>
  <w:style w:type="character" w:styleId="14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Style14" w:customStyle="1">
    <w:name w:val="Ссылка указателя"/>
    <w:qFormat/>
    <w:rPr/>
  </w:style>
  <w:style w:type="character" w:styleId="Fontstyle01" w:customStyle="1">
    <w:name w:val="fontstyle01"/>
    <w:basedOn w:val="DefaultParagraphFont"/>
    <w:qFormat/>
    <w:rPr>
      <w:rFonts w:ascii="TimesNewRomanPSMT" w:hAnsi="TimesNewRomanPSMT"/>
      <w:b w:val="false"/>
      <w:bCs w:val="false"/>
      <w:i w:val="false"/>
      <w:iCs w:val="false"/>
      <w:color w:val="000000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185412"/>
    <w:rPr>
      <w:color w:val="0563C1" w:themeColor="hyperlink"/>
      <w:u w:val="single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Indexheading11" w:customStyle="1">
    <w:name w:val="index heading11"/>
    <w:basedOn w:val="Title"/>
    <w:qFormat/>
    <w:pPr/>
    <w:rPr/>
  </w:style>
  <w:style w:type="paragraph" w:styleId="Style17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8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5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6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0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20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link w:val="12"/>
    <w:qFormat/>
    <w:rsid w:val="0076353a"/>
    <w:pPr>
      <w:tabs>
        <w:tab w:val="clear" w:pos="720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20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22" w:customStyle="1">
    <w:name w:val="Раздел регламента"/>
    <w:basedOn w:val="Normal"/>
    <w:qFormat/>
    <w:rsid w:val="00e228fa"/>
    <w:pPr/>
    <w:rPr/>
  </w:style>
  <w:style w:type="paragraph" w:styleId="Style23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7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5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>
    <w:name w:val="List Bullet 4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rsid w:val="00d22f6d"/>
    <w:pPr>
      <w:widowControl w:val="false"/>
      <w:tabs>
        <w:tab w:val="clear" w:pos="720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8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8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0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9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2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0" w:customStyle="1">
    <w:name w:val="УРОВЕНЬ_1."/>
    <w:basedOn w:val="ListParagraph"/>
    <w:link w:val="13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3" w:customStyle="1">
    <w:name w:val="Содержимое врезки"/>
    <w:basedOn w:val="Normal"/>
    <w:qFormat/>
    <w:pPr/>
    <w:rPr/>
  </w:style>
  <w:style w:type="paragraph" w:styleId="Style34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5" w:customStyle="1">
    <w:name w:val="Заголовок таблицы"/>
    <w:basedOn w:val="Style34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6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d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yperlink" Target="smb://sr-rsk-sar019/&#1087;&#1090;&#1086;/01 &#1055;&#1072;&#1087;&#1082;&#1080; &#1089;&#1086;&#1090;&#1088;&#1091;&#1076;&#1085;&#1080;&#1082;&#1086;&#1074; &#1055;&#1058;&#1054;/&#1044;&#1083;&#1103; &#1050;&#1072;&#1088;&#1072;&#1085;&#1076;&#1072;&#1096;&#1077;&#1074;&#1072;/&#1058;&#1058; &#1085;&#1072; &#1088;&#1077;&#1084;&#1086;&#1085;&#1090; &#1082;&#1086;&#1084;&#1087;&#1088;&#1077;&#1089;&#1089;&#1086;&#1088;&#1086;&#1074; &#1040;&#1090;&#1083;&#1072;&#1089; &#1050;&#1086;&#1087;&#1082;&#1086; 2027&#1075; /&#1088;&#1077;&#1075;&#1083;&#1072;&#1084;&#1077;&#1085;&#1090;" TargetMode="External"/><Relationship Id="rId6" Type="http://schemas.openxmlformats.org/officeDocument/2006/relationships/hyperlink" Target="smb://sr-rsk-sar019/&#1087;&#1090;&#1086;/01 &#1055;&#1072;&#1087;&#1082;&#1080; &#1089;&#1086;&#1090;&#1088;&#1091;&#1076;&#1085;&#1080;&#1082;&#1086;&#1074; &#1055;&#1058;&#1054;/&#1044;&#1083;&#1103; &#1050;&#1072;&#1088;&#1072;&#1085;&#1076;&#1072;&#1096;&#1077;&#1074;&#1072;/&#1058;&#1058; &#1085;&#1072; &#1088;&#1077;&#1084;&#1086;&#1085;&#1090; &#1082;&#1086;&#1084;&#1087;&#1088;&#1077;&#1089;&#1089;&#1086;&#1088;&#1086;&#1074; &#1040;&#1090;&#1083;&#1072;&#1089; &#1050;&#1086;&#1087;&#1082;&#1086; 2027&#1075; /&#1088;&#1077;&#1075;&#1083;&#1072;&#1084;&#1077;&#1085;&#1090;&#1072;" TargetMode="External"/><Relationship Id="rId7" Type="http://schemas.openxmlformats.org/officeDocument/2006/relationships/hyperlink" Target="smb://sr-rsk-sar019/&#1087;&#1090;&#1086;/01 &#1055;&#1072;&#1087;&#1082;&#1080; &#1089;&#1086;&#1090;&#1088;&#1091;&#1076;&#1085;&#1080;&#1082;&#1086;&#1074; &#1055;&#1058;&#1054;/&#1044;&#1083;&#1103; &#1050;&#1072;&#1088;&#1072;&#1085;&#1076;&#1072;&#1096;&#1077;&#1074;&#1072;/&#1058;&#1058; &#1085;&#1072; &#1088;&#1077;&#1084;&#1086;&#1085;&#1090; &#1082;&#1086;&#1084;&#1087;&#1088;&#1077;&#1089;&#1089;&#1086;&#1088;&#1086;&#1074; &#1040;&#1090;&#1083;&#1072;&#1089; &#1050;&#1086;&#1087;&#1082;&#1086; 2027&#1075; /01.06.2000" TargetMode="External"/><Relationship Id="rId8" Type="http://schemas.openxmlformats.org/officeDocument/2006/relationships/hyperlink" Target="smb://sr-rsk-sar019/&#1087;&#1090;&#1086;/01 &#1055;&#1072;&#1087;&#1082;&#1080; &#1089;&#1086;&#1090;&#1088;&#1091;&#1076;&#1085;&#1080;&#1082;&#1086;&#1074; &#1055;&#1058;&#1054;/&#1044;&#1083;&#1103; &#1050;&#1072;&#1088;&#1072;&#1085;&#1076;&#1072;&#1096;&#1077;&#1074;&#1072;/&#1058;&#1058; &#1085;&#1072; &#1088;&#1077;&#1084;&#1086;&#1085;&#1090; &#1082;&#1086;&#1084;&#1087;&#1088;&#1077;&#1089;&#1089;&#1086;&#1088;&#1086;&#1074; &#1040;&#1090;&#1083;&#1072;&#1089; &#1050;&#1086;&#1087;&#1082;&#1086; 2027&#1075; /01.06.2000" TargetMode="External"/><Relationship Id="rId9" Type="http://schemas.openxmlformats.org/officeDocument/2006/relationships/hyperlink" Target="smb://sr-rsk-sar019/&#1087;&#1090;&#1086;/01 &#1055;&#1072;&#1087;&#1082;&#1080; &#1089;&#1086;&#1090;&#1088;&#1091;&#1076;&#1085;&#1080;&#1082;&#1086;&#1074; &#1055;&#1058;&#1054;/&#1044;&#1083;&#1103; &#1050;&#1072;&#1088;&#1072;&#1085;&#1076;&#1072;&#1096;&#1077;&#1074;&#1072;/&#1058;&#1058; &#1085;&#1072; &#1088;&#1077;&#1084;&#1086;&#1085;&#1090; &#1082;&#1086;&#1084;&#1087;&#1088;&#1077;&#1089;&#1089;&#1086;&#1088;&#1086;&#1074; &#1040;&#1090;&#1083;&#1072;&#1089; &#1050;&#1086;&#1087;&#1082;&#1086; 2027&#1075; /01.01.2021" TargetMode="External"/><Relationship Id="rId10" Type="http://schemas.openxmlformats.org/officeDocument/2006/relationships/hyperlink" Target="smb://sr-rsk-sar019/&#1087;&#1090;&#1086;/01 &#1055;&#1072;&#1087;&#1082;&#1080; &#1089;&#1086;&#1090;&#1088;&#1091;&#1076;&#1085;&#1080;&#1082;&#1086;&#1074; &#1055;&#1058;&#1054;/&#1044;&#1083;&#1103; &#1050;&#1072;&#1088;&#1072;&#1085;&#1076;&#1072;&#1096;&#1077;&#1074;&#1072;/&#1058;&#1058; &#1085;&#1072; &#1088;&#1077;&#1084;&#1086;&#1085;&#1090; &#1082;&#1086;&#1084;&#1087;&#1088;&#1077;&#1089;&#1089;&#1086;&#1088;&#1086;&#1074; &#1040;&#1090;&#1083;&#1072;&#1089; &#1050;&#1086;&#1087;&#1082;&#1086; 2027&#1075; /30.06.2003" TargetMode="External"/><Relationship Id="rId11" Type="http://schemas.openxmlformats.org/officeDocument/2006/relationships/hyperlink" Target="smb://sr-rsk-sar019/&#1087;&#1090;&#1086;/01 &#1055;&#1072;&#1087;&#1082;&#1080; &#1089;&#1086;&#1090;&#1088;&#1091;&#1076;&#1085;&#1080;&#1082;&#1086;&#1074; &#1055;&#1058;&#1054;/&#1044;&#1083;&#1103; &#1050;&#1072;&#1088;&#1072;&#1085;&#1076;&#1072;&#1096;&#1077;&#1074;&#1072;/&#1058;&#1058; &#1085;&#1072; &#1088;&#1077;&#1084;&#1086;&#1085;&#1090; &#1082;&#1086;&#1084;&#1087;&#1088;&#1077;&#1089;&#1089;&#1086;&#1088;&#1086;&#1074; &#1040;&#1090;&#1083;&#1072;&#1089; &#1050;&#1086;&#1087;&#1082;&#1086; 2027&#1075; /01.01.2021" TargetMode="External"/><Relationship Id="rId12" Type="http://schemas.openxmlformats.org/officeDocument/2006/relationships/hyperlink" Target="smb://sr-rsk-sar019/&#1087;&#1090;&#1086;/01 &#1055;&#1072;&#1087;&#1082;&#1080; &#1089;&#1086;&#1090;&#1088;&#1091;&#1076;&#1085;&#1080;&#1082;&#1086;&#1074; &#1055;&#1058;&#1054;/&#1044;&#1083;&#1103; &#1050;&#1072;&#1088;&#1072;&#1085;&#1076;&#1072;&#1096;&#1077;&#1074;&#1072;/&#1058;&#1058; &#1085;&#1072; &#1088;&#1077;&#1084;&#1086;&#1085;&#1090; &#1082;&#1086;&#1084;&#1087;&#1088;&#1077;&#1089;&#1089;&#1086;&#1088;&#1086;&#1074; &#1040;&#1090;&#1083;&#1072;&#1089; &#1050;&#1086;&#1087;&#1082;&#1086; 2027&#1075; /01.01.2021" TargetMode="External"/><Relationship Id="rId13" Type="http://schemas.openxmlformats.org/officeDocument/2006/relationships/hyperlink" Target="smb://sr-rsk-sar019/&#1087;&#1090;&#1086;/01 &#1055;&#1072;&#1087;&#1082;&#1080; &#1089;&#1086;&#1090;&#1088;&#1091;&#1076;&#1085;&#1080;&#1082;&#1086;&#1074; &#1055;&#1058;&#1054;/&#1044;&#1083;&#1103; &#1050;&#1072;&#1088;&#1072;&#1085;&#1076;&#1072;&#1096;&#1077;&#1074;&#1072;/&#1058;&#1058; &#1085;&#1072; &#1088;&#1077;&#1084;&#1086;&#1085;&#1090; &#1082;&#1086;&#1084;&#1087;&#1088;&#1077;&#1089;&#1089;&#1086;&#1088;&#1086;&#1074; &#1040;&#1090;&#1083;&#1072;&#1089; &#1050;&#1086;&#1087;&#1082;&#1086; 2027&#1075; /01.06.2000" TargetMode="External"/><Relationship Id="rId14" Type="http://schemas.openxmlformats.org/officeDocument/2006/relationships/hyperlink" Target="smb://sr-rsk-sar019/&#1087;&#1090;&#1086;/01 &#1055;&#1072;&#1087;&#1082;&#1080; &#1089;&#1086;&#1090;&#1088;&#1091;&#1076;&#1085;&#1080;&#1082;&#1086;&#1074; &#1055;&#1058;&#1054;/&#1044;&#1083;&#1103; &#1050;&#1072;&#1088;&#1072;&#1085;&#1076;&#1072;&#1096;&#1077;&#1074;&#1072;/&#1058;&#1058; &#1085;&#1072; &#1088;&#1077;&#1084;&#1086;&#1085;&#1090; &#1082;&#1086;&#1084;&#1087;&#1088;&#1077;&#1089;&#1089;&#1086;&#1088;&#1086;&#1074; &#1040;&#1090;&#1083;&#1072;&#1089; &#1050;&#1086;&#1087;&#1082;&#1086; 2027&#1075; /01.09.2021)" TargetMode="External"/><Relationship Id="rId15" Type="http://schemas.openxmlformats.org/officeDocument/2006/relationships/header" Target="header4.xml"/><Relationship Id="rId16" Type="http://schemas.openxmlformats.org/officeDocument/2006/relationships/header" Target="header5.xml"/><Relationship Id="rId17" Type="http://schemas.openxmlformats.org/officeDocument/2006/relationships/header" Target="header6.xml"/><Relationship Id="rId18" Type="http://schemas.openxmlformats.org/officeDocument/2006/relationships/header" Target="header7.xml"/><Relationship Id="rId19" Type="http://schemas.openxmlformats.org/officeDocument/2006/relationships/numbering" Target="numbering.xml"/><Relationship Id="rId20" Type="http://schemas.openxmlformats.org/officeDocument/2006/relationships/fontTable" Target="fontTable.xml"/><Relationship Id="rId21" Type="http://schemas.openxmlformats.org/officeDocument/2006/relationships/settings" Target="settings.xml"/><Relationship Id="rId22" Type="http://schemas.openxmlformats.org/officeDocument/2006/relationships/theme" Target="theme/theme1.xml"/><Relationship Id="rId2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321F7-7733-453A-8869-5BCDC54DB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Application>AlterOffice/3.4.0.9$Linux_X86_64 LibreOffice_project/b8daf9e823b1a5463a2f48435ddc2e8696e7d4fc</Application>
  <AppVersion>15.0000</AppVersion>
  <Pages>14</Pages>
  <Words>3156</Words>
  <Characters>21892</Characters>
  <CharactersWithSpaces>24884</CharactersWithSpaces>
  <Paragraphs>301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2023-01-13T12:50:00Z</dcterms:created>
  <dc:creator>Быстров Олег Геннадьевич</dc:creator>
  <dc:description/>
  <dc:language>ru-RU</dc:language>
  <cp:lastModifiedBy>soldatovaan@corp.gidroogk.com</cp:lastModifiedBy>
  <cp:lastPrinted>2025-07-01T10:49:00Z</cp:lastPrinted>
  <dcterms:modified xsi:type="dcterms:W3CDTF">2026-07-28T13:13:17Z</dcterms:modified>
  <cp:revision>61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